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9A7F0" w14:textId="68B10F47" w:rsidR="006813FB" w:rsidRPr="00320499" w:rsidRDefault="0054754D" w:rsidP="006813FB">
      <w:pPr>
        <w:tabs>
          <w:tab w:val="left" w:pos="1276"/>
          <w:tab w:val="left" w:pos="6379"/>
          <w:tab w:val="left" w:pos="6804"/>
        </w:tabs>
        <w:spacing w:after="240"/>
        <w:rPr>
          <w:rFonts w:ascii="Arial" w:eastAsia="Calibri" w:hAnsi="Arial" w:cs="Arial"/>
          <w:b/>
          <w:i/>
          <w:sz w:val="20"/>
          <w:szCs w:val="20"/>
          <w:lang w:val="en-GB"/>
        </w:rPr>
      </w:pPr>
      <w:r>
        <w:rPr>
          <w:rFonts w:ascii="Arial" w:eastAsia="Calibri" w:hAnsi="Arial" w:cs="Arial"/>
          <w:b/>
          <w:i/>
          <w:sz w:val="20"/>
          <w:szCs w:val="20"/>
          <w:lang w:val="en-GB"/>
        </w:rPr>
        <w:t>The financial component</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3828"/>
        <w:gridCol w:w="9639"/>
      </w:tblGrid>
      <w:tr w:rsidR="0054754D" w:rsidRPr="00634B8A" w14:paraId="16615DAC" w14:textId="77777777" w:rsidTr="00483084">
        <w:trPr>
          <w:tblHeader/>
        </w:trPr>
        <w:tc>
          <w:tcPr>
            <w:tcW w:w="3828" w:type="dxa"/>
            <w:tcBorders>
              <w:top w:val="single" w:sz="4" w:space="0" w:color="auto"/>
              <w:bottom w:val="single" w:sz="4" w:space="0" w:color="auto"/>
            </w:tcBorders>
            <w:shd w:val="clear" w:color="auto" w:fill="F2F2F2" w:themeFill="background1" w:themeFillShade="F2"/>
          </w:tcPr>
          <w:p w14:paraId="0D1C822D" w14:textId="77777777" w:rsidR="0054754D" w:rsidRPr="00634B8A" w:rsidRDefault="0054754D" w:rsidP="006813FB">
            <w:pPr>
              <w:autoSpaceDE w:val="0"/>
              <w:autoSpaceDN w:val="0"/>
              <w:adjustRightInd w:val="0"/>
              <w:spacing w:beforeLines="20" w:before="48" w:afterLines="20" w:after="48"/>
              <w:rPr>
                <w:rFonts w:ascii="Arial" w:hAnsi="Arial" w:cs="Arial"/>
                <w:b/>
                <w:bCs/>
                <w:sz w:val="18"/>
                <w:szCs w:val="18"/>
                <w:lang w:val="en-GB"/>
              </w:rPr>
            </w:pPr>
            <w:r w:rsidRPr="00634B8A">
              <w:rPr>
                <w:rFonts w:ascii="Arial" w:hAnsi="Arial" w:cs="Arial"/>
                <w:b/>
                <w:bCs/>
                <w:sz w:val="18"/>
                <w:szCs w:val="18"/>
                <w:lang w:val="en-GB"/>
              </w:rPr>
              <w:t>Summary</w:t>
            </w:r>
          </w:p>
        </w:tc>
        <w:tc>
          <w:tcPr>
            <w:tcW w:w="9639" w:type="dxa"/>
            <w:tcBorders>
              <w:top w:val="single" w:sz="4" w:space="0" w:color="auto"/>
              <w:bottom w:val="single" w:sz="4" w:space="0" w:color="auto"/>
            </w:tcBorders>
            <w:shd w:val="clear" w:color="auto" w:fill="F2F2F2" w:themeFill="background1" w:themeFillShade="F2"/>
          </w:tcPr>
          <w:p w14:paraId="19BA9F9D" w14:textId="77777777" w:rsidR="0054754D" w:rsidRPr="00634B8A" w:rsidRDefault="0054754D" w:rsidP="006813FB">
            <w:pPr>
              <w:autoSpaceDE w:val="0"/>
              <w:autoSpaceDN w:val="0"/>
              <w:adjustRightInd w:val="0"/>
              <w:spacing w:beforeLines="20" w:before="48" w:afterLines="20" w:after="48"/>
              <w:rPr>
                <w:rFonts w:ascii="Arial" w:hAnsi="Arial" w:cs="Arial"/>
                <w:b/>
                <w:bCs/>
                <w:sz w:val="18"/>
                <w:szCs w:val="18"/>
                <w:lang w:val="en-GB"/>
              </w:rPr>
            </w:pPr>
            <w:r w:rsidRPr="00634B8A">
              <w:rPr>
                <w:rFonts w:ascii="Arial" w:hAnsi="Arial" w:cs="Arial"/>
                <w:b/>
                <w:bCs/>
                <w:sz w:val="18"/>
                <w:szCs w:val="18"/>
                <w:lang w:val="en-GB"/>
              </w:rPr>
              <w:t>Indicators</w:t>
            </w:r>
          </w:p>
        </w:tc>
      </w:tr>
      <w:tr w:rsidR="0054754D" w:rsidRPr="0054754D" w14:paraId="590A90AF" w14:textId="77777777" w:rsidTr="00483084">
        <w:tc>
          <w:tcPr>
            <w:tcW w:w="3828" w:type="dxa"/>
            <w:tcBorders>
              <w:bottom w:val="single" w:sz="4" w:space="0" w:color="auto"/>
            </w:tcBorders>
            <w:shd w:val="clear" w:color="auto" w:fill="auto"/>
          </w:tcPr>
          <w:p w14:paraId="305359E4" w14:textId="77777777" w:rsidR="0054754D" w:rsidRPr="00634B8A" w:rsidRDefault="0054754D" w:rsidP="00FE6FEC">
            <w:pPr>
              <w:autoSpaceDE w:val="0"/>
              <w:autoSpaceDN w:val="0"/>
              <w:adjustRightInd w:val="0"/>
              <w:spacing w:beforeLines="20" w:before="48" w:afterLines="20" w:after="48"/>
              <w:rPr>
                <w:rFonts w:ascii="Arial" w:hAnsi="Arial" w:cs="Arial"/>
                <w:b/>
                <w:sz w:val="18"/>
                <w:szCs w:val="18"/>
                <w:lang w:val="en-GB"/>
              </w:rPr>
            </w:pPr>
            <w:r w:rsidRPr="00634B8A">
              <w:rPr>
                <w:rFonts w:ascii="Arial" w:hAnsi="Arial" w:cs="Arial"/>
                <w:b/>
                <w:sz w:val="18"/>
                <w:szCs w:val="18"/>
                <w:lang w:val="en-GB"/>
              </w:rPr>
              <w:t>Overarching project goal</w:t>
            </w:r>
          </w:p>
          <w:p w14:paraId="6D318F69" w14:textId="0BEC52EA" w:rsidR="0054754D" w:rsidRDefault="0054754D" w:rsidP="007D3A3F">
            <w:pPr>
              <w:autoSpaceDE w:val="0"/>
              <w:autoSpaceDN w:val="0"/>
              <w:adjustRightInd w:val="0"/>
              <w:spacing w:beforeLines="20" w:before="48" w:afterLines="20" w:after="48"/>
              <w:rPr>
                <w:rFonts w:ascii="Arial" w:hAnsi="Arial" w:cs="Arial"/>
                <w:sz w:val="18"/>
                <w:szCs w:val="18"/>
                <w:lang w:val="en-GB"/>
              </w:rPr>
            </w:pPr>
            <w:r>
              <w:rPr>
                <w:rFonts w:ascii="Arial" w:hAnsi="Arial" w:cs="Arial"/>
                <w:sz w:val="18"/>
                <w:szCs w:val="18"/>
                <w:lang w:val="en-GB"/>
              </w:rPr>
              <w:t xml:space="preserve">Complete transformation of the domestic refrigerator sector to climate friendly, energy efficient appliances, the distribution of these green fridges within the country and old fridges to be recycled. </w:t>
            </w:r>
            <w:r w:rsidRPr="00634B8A">
              <w:rPr>
                <w:rFonts w:ascii="Arial" w:hAnsi="Arial" w:cs="Arial"/>
                <w:sz w:val="18"/>
                <w:szCs w:val="18"/>
                <w:lang w:val="en-GB"/>
              </w:rPr>
              <w:br/>
            </w:r>
          </w:p>
          <w:p w14:paraId="08AC4178" w14:textId="2D764D5A" w:rsidR="0054754D" w:rsidRPr="00281FF2" w:rsidRDefault="0054754D" w:rsidP="007D3A3F">
            <w:pPr>
              <w:autoSpaceDE w:val="0"/>
              <w:autoSpaceDN w:val="0"/>
              <w:adjustRightInd w:val="0"/>
              <w:spacing w:beforeLines="20" w:before="48" w:afterLines="20" w:after="48"/>
              <w:rPr>
                <w:rFonts w:ascii="Arial" w:hAnsi="Arial" w:cs="Arial"/>
                <w:sz w:val="18"/>
                <w:szCs w:val="18"/>
                <w:lang w:val="en-GB"/>
              </w:rPr>
            </w:pPr>
          </w:p>
        </w:tc>
        <w:tc>
          <w:tcPr>
            <w:tcW w:w="9639" w:type="dxa"/>
            <w:tcBorders>
              <w:bottom w:val="single" w:sz="4" w:space="0" w:color="auto"/>
            </w:tcBorders>
            <w:shd w:val="clear" w:color="auto" w:fill="auto"/>
          </w:tcPr>
          <w:p w14:paraId="63C4CB5F" w14:textId="77777777" w:rsidR="0054754D" w:rsidRDefault="0054754D" w:rsidP="00AA2961">
            <w:pPr>
              <w:autoSpaceDE w:val="0"/>
              <w:autoSpaceDN w:val="0"/>
              <w:adjustRightInd w:val="0"/>
              <w:spacing w:afterLines="20" w:after="48"/>
              <w:rPr>
                <w:rFonts w:ascii="Arial" w:hAnsi="Arial" w:cs="Arial"/>
                <w:sz w:val="18"/>
                <w:szCs w:val="18"/>
                <w:lang w:val="en-GB"/>
              </w:rPr>
            </w:pPr>
            <w:r w:rsidRPr="00281FF2">
              <w:rPr>
                <w:rFonts w:ascii="Arial" w:hAnsi="Arial" w:cs="Arial"/>
                <w:b/>
                <w:sz w:val="18"/>
                <w:szCs w:val="18"/>
                <w:lang w:val="en-GB"/>
              </w:rPr>
              <w:t>Indicators</w:t>
            </w:r>
            <w:r w:rsidRPr="00634B8A">
              <w:rPr>
                <w:rFonts w:ascii="Arial" w:hAnsi="Arial" w:cs="Arial"/>
                <w:sz w:val="18"/>
                <w:szCs w:val="18"/>
                <w:lang w:val="en-GB"/>
              </w:rPr>
              <w:t>:</w:t>
            </w:r>
          </w:p>
          <w:p w14:paraId="53C742A8" w14:textId="79C844D5" w:rsidR="0054754D" w:rsidRDefault="0054754D" w:rsidP="00B51FF9">
            <w:pPr>
              <w:pStyle w:val="ListParagraph"/>
              <w:numPr>
                <w:ilvl w:val="0"/>
                <w:numId w:val="31"/>
              </w:numPr>
              <w:autoSpaceDE w:val="0"/>
              <w:autoSpaceDN w:val="0"/>
              <w:adjustRightInd w:val="0"/>
              <w:spacing w:afterLines="20" w:after="48"/>
              <w:rPr>
                <w:rFonts w:ascii="Arial" w:hAnsi="Arial" w:cs="Arial"/>
                <w:sz w:val="18"/>
                <w:szCs w:val="18"/>
                <w:lang w:val="en-GB"/>
              </w:rPr>
            </w:pPr>
            <w:r w:rsidRPr="00B51FF9">
              <w:rPr>
                <w:rFonts w:ascii="Arial" w:hAnsi="Arial" w:cs="Arial"/>
                <w:b/>
                <w:sz w:val="18"/>
                <w:szCs w:val="18"/>
                <w:lang w:val="en-GB"/>
              </w:rPr>
              <w:t>Placed on the market:</w:t>
            </w:r>
            <w:r>
              <w:rPr>
                <w:rFonts w:ascii="Arial" w:hAnsi="Arial" w:cs="Arial"/>
                <w:sz w:val="18"/>
                <w:szCs w:val="18"/>
                <w:lang w:val="en-GB"/>
              </w:rPr>
              <w:t xml:space="preserve"> number of </w:t>
            </w:r>
            <w:r w:rsidRPr="00B51FF9">
              <w:rPr>
                <w:rFonts w:ascii="Arial" w:hAnsi="Arial" w:cs="Arial"/>
                <w:sz w:val="18"/>
                <w:szCs w:val="18"/>
                <w:lang w:val="en-GB"/>
              </w:rPr>
              <w:t>climate friendly, energy efficient refr</w:t>
            </w:r>
            <w:r>
              <w:rPr>
                <w:rFonts w:ascii="Arial" w:hAnsi="Arial" w:cs="Arial"/>
                <w:sz w:val="18"/>
                <w:szCs w:val="18"/>
                <w:lang w:val="en-GB"/>
              </w:rPr>
              <w:t>igerators placed on the market (1.1 to 1.2 Mio per year within the NSP period)</w:t>
            </w:r>
          </w:p>
          <w:p w14:paraId="7AF35F85" w14:textId="6F9C76E2" w:rsidR="0054754D" w:rsidRPr="00601D68" w:rsidRDefault="0054754D" w:rsidP="0078179D">
            <w:pPr>
              <w:pStyle w:val="ListParagraph"/>
              <w:numPr>
                <w:ilvl w:val="0"/>
                <w:numId w:val="31"/>
              </w:numPr>
              <w:autoSpaceDE w:val="0"/>
              <w:autoSpaceDN w:val="0"/>
              <w:adjustRightInd w:val="0"/>
              <w:spacing w:afterLines="20" w:after="48"/>
              <w:rPr>
                <w:rFonts w:ascii="Arial" w:hAnsi="Arial" w:cs="Arial"/>
                <w:sz w:val="18"/>
                <w:szCs w:val="18"/>
                <w:lang w:val="en-GB"/>
              </w:rPr>
            </w:pPr>
            <w:r w:rsidRPr="00601D68">
              <w:rPr>
                <w:rFonts w:ascii="Arial" w:hAnsi="Arial" w:cs="Arial"/>
                <w:b/>
                <w:sz w:val="18"/>
                <w:szCs w:val="18"/>
                <w:lang w:val="en-GB"/>
              </w:rPr>
              <w:t>Emission reductions</w:t>
            </w:r>
            <w:r w:rsidRPr="00601D68">
              <w:rPr>
                <w:rFonts w:ascii="Arial" w:hAnsi="Arial" w:cs="Arial"/>
                <w:sz w:val="18"/>
                <w:szCs w:val="18"/>
                <w:lang w:val="en-GB"/>
              </w:rPr>
              <w:t xml:space="preserve">: New fridges on the market causing 3.8 to 4 Mt CO2eq savings per year with in the NSP (calculated over </w:t>
            </w:r>
            <w:r w:rsidRPr="00123C4B">
              <w:rPr>
                <w:rFonts w:ascii="Arial" w:hAnsi="Arial" w:cs="Arial"/>
                <w:sz w:val="18"/>
                <w:szCs w:val="18"/>
                <w:lang w:val="en-GB"/>
              </w:rPr>
              <w:t xml:space="preserve">life time of equipment); Recycling of old fridges will reduce 380 </w:t>
            </w:r>
            <w:proofErr w:type="spellStart"/>
            <w:r w:rsidRPr="00123C4B">
              <w:rPr>
                <w:rFonts w:ascii="Arial" w:hAnsi="Arial" w:cs="Arial"/>
                <w:sz w:val="18"/>
                <w:szCs w:val="18"/>
                <w:lang w:val="en-GB"/>
              </w:rPr>
              <w:t>kt</w:t>
            </w:r>
            <w:proofErr w:type="spellEnd"/>
            <w:r w:rsidRPr="00123C4B">
              <w:rPr>
                <w:rFonts w:ascii="Arial" w:hAnsi="Arial" w:cs="Arial"/>
                <w:sz w:val="18"/>
                <w:szCs w:val="18"/>
                <w:lang w:val="en-GB"/>
              </w:rPr>
              <w:t xml:space="preserve">  CO2eq per year with beginning of  2019</w:t>
            </w:r>
          </w:p>
          <w:p w14:paraId="44E2525D" w14:textId="3BAD3316" w:rsidR="0054754D" w:rsidRDefault="0054754D" w:rsidP="00601D68">
            <w:pPr>
              <w:pStyle w:val="ListParagraph"/>
              <w:numPr>
                <w:ilvl w:val="0"/>
                <w:numId w:val="31"/>
              </w:numPr>
              <w:autoSpaceDE w:val="0"/>
              <w:autoSpaceDN w:val="0"/>
              <w:adjustRightInd w:val="0"/>
              <w:spacing w:afterLines="20" w:after="48"/>
              <w:rPr>
                <w:rFonts w:ascii="Arial" w:hAnsi="Arial" w:cs="Arial"/>
                <w:sz w:val="18"/>
                <w:szCs w:val="18"/>
                <w:lang w:val="en-GB"/>
              </w:rPr>
            </w:pPr>
            <w:r w:rsidRPr="00123C4B">
              <w:rPr>
                <w:rFonts w:ascii="Arial" w:hAnsi="Arial" w:cs="Arial"/>
                <w:b/>
                <w:sz w:val="18"/>
                <w:szCs w:val="18"/>
                <w:lang w:val="en-GB"/>
              </w:rPr>
              <w:t>Volume of public finance</w:t>
            </w:r>
            <w:r>
              <w:rPr>
                <w:rFonts w:ascii="Arial" w:hAnsi="Arial" w:cs="Arial"/>
                <w:sz w:val="18"/>
                <w:szCs w:val="18"/>
                <w:lang w:val="en-GB"/>
              </w:rPr>
              <w:t>: 13 Mio €</w:t>
            </w:r>
          </w:p>
          <w:p w14:paraId="45153719" w14:textId="1C03FADD" w:rsidR="0054754D" w:rsidRDefault="0054754D" w:rsidP="00601D68">
            <w:pPr>
              <w:pStyle w:val="ListParagraph"/>
              <w:numPr>
                <w:ilvl w:val="0"/>
                <w:numId w:val="31"/>
              </w:numPr>
              <w:autoSpaceDE w:val="0"/>
              <w:autoSpaceDN w:val="0"/>
              <w:adjustRightInd w:val="0"/>
              <w:spacing w:afterLines="20" w:after="48"/>
              <w:rPr>
                <w:rFonts w:ascii="Arial" w:hAnsi="Arial" w:cs="Arial"/>
                <w:sz w:val="18"/>
                <w:szCs w:val="18"/>
                <w:lang w:val="en-GB"/>
              </w:rPr>
            </w:pPr>
            <w:r w:rsidRPr="00123C4B">
              <w:rPr>
                <w:rFonts w:ascii="Arial" w:hAnsi="Arial" w:cs="Arial"/>
                <w:b/>
                <w:sz w:val="18"/>
                <w:szCs w:val="18"/>
                <w:lang w:val="en-GB"/>
              </w:rPr>
              <w:t>Volume of private finance:</w:t>
            </w:r>
            <w:r>
              <w:rPr>
                <w:rFonts w:ascii="Arial" w:hAnsi="Arial" w:cs="Arial"/>
                <w:sz w:val="18"/>
                <w:szCs w:val="18"/>
                <w:lang w:val="en-GB"/>
              </w:rPr>
              <w:t xml:space="preserve"> 100 Mio € </w:t>
            </w:r>
          </w:p>
          <w:p w14:paraId="05F0D32E" w14:textId="61F93250" w:rsidR="0054754D" w:rsidRDefault="0054754D" w:rsidP="00601D68">
            <w:pPr>
              <w:pStyle w:val="ListParagraph"/>
              <w:numPr>
                <w:ilvl w:val="0"/>
                <w:numId w:val="31"/>
              </w:numPr>
              <w:autoSpaceDE w:val="0"/>
              <w:autoSpaceDN w:val="0"/>
              <w:adjustRightInd w:val="0"/>
              <w:spacing w:afterLines="20" w:after="48"/>
              <w:rPr>
                <w:rFonts w:ascii="Arial" w:hAnsi="Arial" w:cs="Arial"/>
                <w:sz w:val="18"/>
                <w:szCs w:val="18"/>
                <w:lang w:val="en-GB"/>
              </w:rPr>
            </w:pPr>
            <w:r w:rsidRPr="00123C4B">
              <w:rPr>
                <w:rFonts w:ascii="Arial" w:hAnsi="Arial" w:cs="Arial"/>
                <w:b/>
                <w:sz w:val="18"/>
                <w:szCs w:val="18"/>
                <w:lang w:val="en-GB"/>
              </w:rPr>
              <w:t>People directly benefitting</w:t>
            </w:r>
            <w:r>
              <w:rPr>
                <w:rFonts w:ascii="Arial" w:hAnsi="Arial" w:cs="Arial"/>
                <w:sz w:val="18"/>
                <w:szCs w:val="18"/>
                <w:lang w:val="en-GB"/>
              </w:rPr>
              <w:t xml:space="preserve">: </w:t>
            </w:r>
            <w:r w:rsidRPr="00601D68">
              <w:rPr>
                <w:rFonts w:ascii="Arial" w:hAnsi="Arial" w:cs="Arial"/>
                <w:sz w:val="18"/>
                <w:szCs w:val="18"/>
                <w:lang w:val="en-GB"/>
              </w:rPr>
              <w:t>300.000 low income households</w:t>
            </w:r>
            <w:r>
              <w:rPr>
                <w:rFonts w:ascii="Arial" w:hAnsi="Arial" w:cs="Arial"/>
                <w:sz w:val="18"/>
                <w:szCs w:val="18"/>
                <w:lang w:val="en-GB"/>
              </w:rPr>
              <w:t xml:space="preserve"> receive green fridges with energy cost savings (50% savings) in 5 years</w:t>
            </w:r>
          </w:p>
          <w:p w14:paraId="23CB152B" w14:textId="77777777" w:rsidR="0054754D" w:rsidRDefault="0054754D" w:rsidP="0078179D">
            <w:pPr>
              <w:pStyle w:val="ListParagraph"/>
              <w:numPr>
                <w:ilvl w:val="0"/>
                <w:numId w:val="31"/>
              </w:numPr>
              <w:autoSpaceDE w:val="0"/>
              <w:autoSpaceDN w:val="0"/>
              <w:adjustRightInd w:val="0"/>
              <w:spacing w:afterLines="20" w:after="48"/>
              <w:rPr>
                <w:rFonts w:ascii="Arial" w:hAnsi="Arial" w:cs="Arial"/>
                <w:sz w:val="18"/>
                <w:szCs w:val="18"/>
                <w:lang w:val="en-GB"/>
              </w:rPr>
            </w:pPr>
            <w:r w:rsidRPr="00BC2F0B">
              <w:rPr>
                <w:rFonts w:ascii="Arial" w:hAnsi="Arial" w:cs="Arial"/>
                <w:b/>
                <w:sz w:val="18"/>
                <w:szCs w:val="18"/>
                <w:lang w:val="en-GB"/>
              </w:rPr>
              <w:t>Transformational change</w:t>
            </w:r>
            <w:r w:rsidRPr="00BC2F0B">
              <w:rPr>
                <w:rFonts w:ascii="Arial" w:hAnsi="Arial" w:cs="Arial"/>
                <w:sz w:val="18"/>
                <w:szCs w:val="18"/>
                <w:lang w:val="en-GB"/>
              </w:rPr>
              <w:t>: after the mechanisms established under NSP, extension to appliance sector under RED VERDE platform</w:t>
            </w:r>
          </w:p>
          <w:p w14:paraId="6A406272" w14:textId="1BAE284F" w:rsidR="0054754D" w:rsidRPr="00BC2F0B" w:rsidRDefault="0054754D" w:rsidP="003C26EE">
            <w:pPr>
              <w:pStyle w:val="ListParagraph"/>
              <w:autoSpaceDE w:val="0"/>
              <w:autoSpaceDN w:val="0"/>
              <w:adjustRightInd w:val="0"/>
              <w:spacing w:afterLines="20" w:after="48"/>
              <w:rPr>
                <w:rFonts w:ascii="Arial" w:hAnsi="Arial" w:cs="Arial"/>
                <w:sz w:val="18"/>
                <w:szCs w:val="18"/>
                <w:lang w:val="en-GB"/>
              </w:rPr>
            </w:pPr>
          </w:p>
          <w:p w14:paraId="46C46F8C" w14:textId="0B167DF9" w:rsidR="0054754D" w:rsidRPr="00634B8A" w:rsidRDefault="0054754D">
            <w:pPr>
              <w:autoSpaceDE w:val="0"/>
              <w:autoSpaceDN w:val="0"/>
              <w:adjustRightInd w:val="0"/>
              <w:spacing w:afterLines="20" w:after="48"/>
              <w:rPr>
                <w:rFonts w:ascii="Arial" w:hAnsi="Arial" w:cs="Arial"/>
                <w:sz w:val="18"/>
                <w:szCs w:val="18"/>
                <w:lang w:val="en-GB"/>
              </w:rPr>
            </w:pPr>
            <w:r w:rsidRPr="00281FF2">
              <w:rPr>
                <w:rFonts w:ascii="Arial" w:hAnsi="Arial" w:cs="Arial"/>
                <w:b/>
                <w:sz w:val="18"/>
                <w:szCs w:val="18"/>
                <w:lang w:val="en-GB"/>
              </w:rPr>
              <w:t>Baseline</w:t>
            </w:r>
            <w:r w:rsidRPr="00634B8A">
              <w:rPr>
                <w:rFonts w:ascii="Arial" w:hAnsi="Arial" w:cs="Arial"/>
                <w:sz w:val="18"/>
                <w:szCs w:val="18"/>
                <w:lang w:val="en-GB"/>
              </w:rPr>
              <w:t>:</w:t>
            </w:r>
            <w:r>
              <w:rPr>
                <w:rFonts w:ascii="Arial" w:hAnsi="Arial" w:cs="Arial"/>
                <w:sz w:val="18"/>
                <w:szCs w:val="18"/>
                <w:lang w:val="en-GB"/>
              </w:rPr>
              <w:t xml:space="preserve"> All refrigerators currently sold have high energy consumptions (average 850 KWh/year) and contain high GWP refrigerants; refrigerators are not properly recycled and refrigerants escape into the atmosphere;</w:t>
            </w:r>
          </w:p>
        </w:tc>
      </w:tr>
      <w:tr w:rsidR="0054754D" w:rsidRPr="0054754D" w14:paraId="500CDE5C" w14:textId="77777777" w:rsidTr="00483084">
        <w:tc>
          <w:tcPr>
            <w:tcW w:w="3828" w:type="dxa"/>
            <w:tcBorders>
              <w:bottom w:val="single" w:sz="4" w:space="0" w:color="auto"/>
            </w:tcBorders>
            <w:shd w:val="clear" w:color="auto" w:fill="auto"/>
          </w:tcPr>
          <w:p w14:paraId="2C7132E6" w14:textId="06237348" w:rsidR="0054754D" w:rsidRPr="00BC2F0B" w:rsidRDefault="0054754D" w:rsidP="00A22FDC">
            <w:pPr>
              <w:autoSpaceDE w:val="0"/>
              <w:autoSpaceDN w:val="0"/>
              <w:adjustRightInd w:val="0"/>
              <w:spacing w:beforeLines="20" w:before="48" w:afterLines="20" w:after="48"/>
              <w:rPr>
                <w:rFonts w:ascii="Arial" w:hAnsi="Arial" w:cs="Arial"/>
                <w:sz w:val="18"/>
                <w:szCs w:val="18"/>
                <w:highlight w:val="red"/>
                <w:lang w:val="en-GB"/>
              </w:rPr>
            </w:pPr>
            <w:r>
              <w:rPr>
                <w:rFonts w:ascii="Arial" w:hAnsi="Arial" w:cs="Arial"/>
                <w:b/>
                <w:sz w:val="18"/>
                <w:szCs w:val="18"/>
                <w:lang w:val="en-GB"/>
              </w:rPr>
              <w:t xml:space="preserve">Outcome: </w:t>
            </w:r>
            <w:r w:rsidRPr="00BC2F0B">
              <w:rPr>
                <w:rFonts w:ascii="Arial" w:hAnsi="Arial" w:cs="Arial"/>
                <w:sz w:val="18"/>
                <w:szCs w:val="18"/>
                <w:lang w:val="en-GB"/>
              </w:rPr>
              <w:t xml:space="preserve">Manufacturers received attractive credit lines to convert all production lines in the country, a Green Replacement fund </w:t>
            </w:r>
            <w:r>
              <w:rPr>
                <w:rFonts w:ascii="Arial" w:hAnsi="Arial" w:cs="Arial"/>
                <w:sz w:val="18"/>
                <w:szCs w:val="18"/>
                <w:lang w:val="en-GB"/>
              </w:rPr>
              <w:t>is</w:t>
            </w:r>
            <w:r w:rsidRPr="00BC2F0B">
              <w:rPr>
                <w:rFonts w:ascii="Arial" w:hAnsi="Arial" w:cs="Arial"/>
                <w:sz w:val="18"/>
                <w:szCs w:val="18"/>
                <w:lang w:val="en-GB"/>
              </w:rPr>
              <w:t xml:space="preserve"> established </w:t>
            </w:r>
            <w:r>
              <w:rPr>
                <w:rFonts w:ascii="Arial" w:hAnsi="Arial" w:cs="Arial"/>
                <w:sz w:val="18"/>
                <w:szCs w:val="18"/>
                <w:lang w:val="en-GB"/>
              </w:rPr>
              <w:t xml:space="preserve">which </w:t>
            </w:r>
            <w:r w:rsidRPr="00BC2F0B">
              <w:rPr>
                <w:rFonts w:ascii="Arial" w:hAnsi="Arial" w:cs="Arial"/>
                <w:sz w:val="18"/>
                <w:szCs w:val="18"/>
                <w:lang w:val="en-GB"/>
              </w:rPr>
              <w:t>enables attractive consumer credit</w:t>
            </w:r>
            <w:r>
              <w:rPr>
                <w:rFonts w:ascii="Arial" w:hAnsi="Arial" w:cs="Arial"/>
                <w:sz w:val="18"/>
                <w:szCs w:val="18"/>
                <w:lang w:val="en-GB"/>
              </w:rPr>
              <w:t>s</w:t>
            </w:r>
            <w:r w:rsidRPr="00BC2F0B">
              <w:rPr>
                <w:rFonts w:ascii="Arial" w:hAnsi="Arial" w:cs="Arial"/>
                <w:sz w:val="18"/>
                <w:szCs w:val="18"/>
                <w:lang w:val="en-GB"/>
              </w:rPr>
              <w:t xml:space="preserve"> with incentives (on bill financing) and an established EPR scheme covers the cost</w:t>
            </w:r>
            <w:r>
              <w:rPr>
                <w:rFonts w:ascii="Arial" w:hAnsi="Arial" w:cs="Arial"/>
                <w:sz w:val="18"/>
                <w:szCs w:val="18"/>
                <w:lang w:val="en-GB"/>
              </w:rPr>
              <w:t>s</w:t>
            </w:r>
            <w:r w:rsidRPr="00BC2F0B">
              <w:rPr>
                <w:rFonts w:ascii="Arial" w:hAnsi="Arial" w:cs="Arial"/>
                <w:sz w:val="18"/>
                <w:szCs w:val="18"/>
                <w:lang w:val="en-GB"/>
              </w:rPr>
              <w:t xml:space="preserve"> for the recycling of old fridges </w:t>
            </w:r>
          </w:p>
        </w:tc>
        <w:tc>
          <w:tcPr>
            <w:tcW w:w="9639" w:type="dxa"/>
            <w:tcBorders>
              <w:bottom w:val="single" w:sz="4" w:space="0" w:color="auto"/>
            </w:tcBorders>
            <w:shd w:val="clear" w:color="auto" w:fill="auto"/>
          </w:tcPr>
          <w:p w14:paraId="077C1EAA" w14:textId="1D60F03A" w:rsidR="0054754D" w:rsidRDefault="0054754D" w:rsidP="00BC2F0B">
            <w:pPr>
              <w:autoSpaceDE w:val="0"/>
              <w:autoSpaceDN w:val="0"/>
              <w:adjustRightInd w:val="0"/>
              <w:spacing w:afterLines="20" w:after="48"/>
              <w:rPr>
                <w:rFonts w:ascii="Arial" w:hAnsi="Arial" w:cs="Arial"/>
                <w:sz w:val="18"/>
                <w:szCs w:val="18"/>
                <w:lang w:val="en-GB"/>
              </w:rPr>
            </w:pPr>
            <w:r>
              <w:rPr>
                <w:rFonts w:ascii="Arial" w:hAnsi="Arial" w:cs="Arial"/>
                <w:sz w:val="18"/>
                <w:szCs w:val="18"/>
                <w:lang w:val="en-GB"/>
              </w:rPr>
              <w:t xml:space="preserve">FC: </w:t>
            </w:r>
          </w:p>
          <w:p w14:paraId="1B7CC94E" w14:textId="300C0C38" w:rsidR="0054754D" w:rsidRDefault="0054754D" w:rsidP="00BC2F0B">
            <w:pPr>
              <w:autoSpaceDE w:val="0"/>
              <w:autoSpaceDN w:val="0"/>
              <w:adjustRightInd w:val="0"/>
              <w:spacing w:afterLines="20" w:after="48"/>
              <w:rPr>
                <w:rFonts w:ascii="Arial" w:hAnsi="Arial" w:cs="Arial"/>
                <w:sz w:val="18"/>
                <w:szCs w:val="18"/>
                <w:lang w:val="en-GB"/>
              </w:rPr>
            </w:pPr>
            <w:r w:rsidRPr="00281FF2">
              <w:rPr>
                <w:rFonts w:ascii="Arial" w:hAnsi="Arial" w:cs="Arial"/>
                <w:b/>
                <w:sz w:val="18"/>
                <w:szCs w:val="18"/>
                <w:lang w:val="en-GB"/>
              </w:rPr>
              <w:t>Indicators</w:t>
            </w:r>
            <w:r>
              <w:rPr>
                <w:rFonts w:ascii="Arial" w:hAnsi="Arial" w:cs="Arial"/>
                <w:b/>
                <w:sz w:val="18"/>
                <w:szCs w:val="18"/>
                <w:lang w:val="en-GB"/>
              </w:rPr>
              <w:t xml:space="preserve">: </w:t>
            </w:r>
            <w:r>
              <w:rPr>
                <w:rFonts w:ascii="Arial" w:hAnsi="Arial" w:cs="Arial"/>
                <w:sz w:val="18"/>
                <w:szCs w:val="18"/>
                <w:lang w:val="en-GB"/>
              </w:rPr>
              <w:t xml:space="preserve">11 Mio EUR in loans are disbursed to manufacturers for production line conversions; </w:t>
            </w:r>
            <w:r w:rsidRPr="00345381">
              <w:rPr>
                <w:rFonts w:ascii="Arial" w:hAnsi="Arial" w:cs="Arial"/>
                <w:sz w:val="18"/>
                <w:szCs w:val="18"/>
                <w:lang w:val="en-GB"/>
              </w:rPr>
              <w:t>90 Mio EUR in credit loans will be disbursed through the on bill financing scheme</w:t>
            </w:r>
            <w:r>
              <w:rPr>
                <w:rFonts w:ascii="Arial" w:hAnsi="Arial" w:cs="Arial"/>
                <w:sz w:val="18"/>
                <w:szCs w:val="18"/>
                <w:lang w:val="en-GB"/>
              </w:rPr>
              <w:t xml:space="preserve"> to low-income households; waste-manger invest 0.5 Mio € in technological upgrades for recycling technology;  manufacturers will agree on fees under the EPR scheme for recycling old fridges</w:t>
            </w:r>
          </w:p>
          <w:p w14:paraId="0DBA703C" w14:textId="24DA9B8A" w:rsidR="0054754D" w:rsidRPr="00F14BE3" w:rsidRDefault="0054754D" w:rsidP="00BC2F0B">
            <w:pPr>
              <w:autoSpaceDE w:val="0"/>
              <w:autoSpaceDN w:val="0"/>
              <w:adjustRightInd w:val="0"/>
              <w:spacing w:afterLines="20" w:after="48"/>
              <w:rPr>
                <w:rFonts w:ascii="Arial" w:hAnsi="Arial" w:cs="Arial"/>
                <w:sz w:val="18"/>
                <w:szCs w:val="18"/>
                <w:highlight w:val="red"/>
                <w:lang w:val="en-GB"/>
              </w:rPr>
            </w:pPr>
            <w:r w:rsidRPr="00281FF2">
              <w:rPr>
                <w:rFonts w:ascii="Arial" w:hAnsi="Arial" w:cs="Arial"/>
                <w:b/>
                <w:sz w:val="18"/>
                <w:szCs w:val="18"/>
                <w:lang w:val="en-GB"/>
              </w:rPr>
              <w:t>Baseline</w:t>
            </w:r>
            <w:r>
              <w:rPr>
                <w:rFonts w:ascii="Arial" w:hAnsi="Arial" w:cs="Arial"/>
                <w:sz w:val="18"/>
                <w:szCs w:val="18"/>
                <w:lang w:val="en-GB"/>
              </w:rPr>
              <w:t>: no funding and financing from manufacturers in production lines, no consumer credits available for low-income households, no investments from waste manager</w:t>
            </w:r>
          </w:p>
        </w:tc>
      </w:tr>
      <w:tr w:rsidR="0054754D" w:rsidRPr="008E7271" w14:paraId="024423AA" w14:textId="77777777" w:rsidTr="00483084">
        <w:tc>
          <w:tcPr>
            <w:tcW w:w="3828" w:type="dxa"/>
            <w:tcBorders>
              <w:bottom w:val="single" w:sz="4" w:space="0" w:color="auto"/>
            </w:tcBorders>
            <w:shd w:val="clear" w:color="auto" w:fill="auto"/>
          </w:tcPr>
          <w:p w14:paraId="055D75C6" w14:textId="65479927" w:rsidR="0054754D" w:rsidRPr="00634B8A" w:rsidRDefault="0054754D" w:rsidP="00FE6FEC">
            <w:pPr>
              <w:autoSpaceDE w:val="0"/>
              <w:autoSpaceDN w:val="0"/>
              <w:adjustRightInd w:val="0"/>
              <w:spacing w:beforeLines="20" w:before="48" w:afterLines="20" w:after="48"/>
              <w:rPr>
                <w:rFonts w:ascii="Arial" w:hAnsi="Arial" w:cs="Arial"/>
                <w:b/>
                <w:sz w:val="18"/>
                <w:szCs w:val="18"/>
                <w:lang w:val="en-GB"/>
              </w:rPr>
            </w:pPr>
            <w:r>
              <w:rPr>
                <w:rFonts w:ascii="Arial" w:hAnsi="Arial" w:cs="Arial"/>
                <w:b/>
                <w:sz w:val="18"/>
                <w:szCs w:val="18"/>
                <w:lang w:val="en-GB"/>
              </w:rPr>
              <w:t xml:space="preserve">Output 1: </w:t>
            </w:r>
            <w:r w:rsidRPr="003C26EE">
              <w:rPr>
                <w:rFonts w:ascii="Arial" w:hAnsi="Arial" w:cs="Arial"/>
                <w:sz w:val="18"/>
                <w:szCs w:val="18"/>
                <w:lang w:val="en-GB"/>
              </w:rPr>
              <w:t>Policy framework for the transformation of the domestic refrigeration sector is established</w:t>
            </w:r>
          </w:p>
        </w:tc>
        <w:tc>
          <w:tcPr>
            <w:tcW w:w="9639" w:type="dxa"/>
            <w:tcBorders>
              <w:bottom w:val="single" w:sz="4" w:space="0" w:color="auto"/>
            </w:tcBorders>
            <w:shd w:val="clear" w:color="auto" w:fill="auto"/>
          </w:tcPr>
          <w:p w14:paraId="6D7BEB7E" w14:textId="2AECA183" w:rsidR="0054754D" w:rsidRDefault="0054754D" w:rsidP="00AA2961">
            <w:pPr>
              <w:autoSpaceDE w:val="0"/>
              <w:autoSpaceDN w:val="0"/>
              <w:adjustRightInd w:val="0"/>
              <w:spacing w:afterLines="20" w:after="48"/>
              <w:rPr>
                <w:rFonts w:ascii="Arial" w:hAnsi="Arial" w:cs="Arial"/>
                <w:sz w:val="18"/>
                <w:szCs w:val="18"/>
                <w:lang w:val="en-GB"/>
              </w:rPr>
            </w:pPr>
            <w:r>
              <w:rPr>
                <w:rFonts w:ascii="Arial" w:hAnsi="Arial" w:cs="Arial"/>
                <w:sz w:val="18"/>
                <w:szCs w:val="18"/>
                <w:lang w:val="en-GB"/>
              </w:rPr>
              <w:t xml:space="preserve">FC: </w:t>
            </w:r>
          </w:p>
          <w:p w14:paraId="46063450" w14:textId="77777777" w:rsidR="0054754D" w:rsidRDefault="0054754D" w:rsidP="00AA2961">
            <w:pPr>
              <w:autoSpaceDE w:val="0"/>
              <w:autoSpaceDN w:val="0"/>
              <w:adjustRightInd w:val="0"/>
              <w:spacing w:afterLines="20" w:after="48"/>
              <w:rPr>
                <w:rFonts w:ascii="Arial" w:hAnsi="Arial" w:cs="Arial"/>
                <w:sz w:val="18"/>
                <w:szCs w:val="18"/>
                <w:lang w:val="en-GB"/>
              </w:rPr>
            </w:pPr>
            <w:r w:rsidRPr="00281FF2">
              <w:rPr>
                <w:rFonts w:ascii="Arial" w:hAnsi="Arial" w:cs="Arial"/>
                <w:b/>
                <w:sz w:val="18"/>
                <w:szCs w:val="18"/>
                <w:lang w:val="en-GB"/>
              </w:rPr>
              <w:t>Indicators</w:t>
            </w:r>
            <w:r>
              <w:rPr>
                <w:rFonts w:ascii="Arial" w:hAnsi="Arial" w:cs="Arial"/>
                <w:sz w:val="18"/>
                <w:szCs w:val="18"/>
                <w:lang w:val="en-GB"/>
              </w:rPr>
              <w:t xml:space="preserve">: Policy standards are established by Q2/17 and serve as a basis for loan agreements Q4/17 </w:t>
            </w:r>
          </w:p>
          <w:p w14:paraId="7711BE7F" w14:textId="77777777" w:rsidR="0054754D" w:rsidRPr="00634B8A" w:rsidRDefault="0054754D">
            <w:pPr>
              <w:autoSpaceDE w:val="0"/>
              <w:autoSpaceDN w:val="0"/>
              <w:adjustRightInd w:val="0"/>
              <w:spacing w:afterLines="20" w:after="48"/>
              <w:rPr>
                <w:rFonts w:ascii="Arial" w:hAnsi="Arial" w:cs="Arial"/>
                <w:sz w:val="18"/>
                <w:szCs w:val="18"/>
                <w:lang w:val="en-GB"/>
              </w:rPr>
            </w:pPr>
            <w:r w:rsidRPr="00281FF2">
              <w:rPr>
                <w:rFonts w:ascii="Arial" w:hAnsi="Arial" w:cs="Arial"/>
                <w:b/>
                <w:sz w:val="18"/>
                <w:szCs w:val="18"/>
                <w:lang w:val="en-GB"/>
              </w:rPr>
              <w:t>Baseline</w:t>
            </w:r>
            <w:r>
              <w:rPr>
                <w:rFonts w:ascii="Arial" w:hAnsi="Arial" w:cs="Arial"/>
                <w:sz w:val="18"/>
                <w:szCs w:val="18"/>
                <w:lang w:val="en-GB"/>
              </w:rPr>
              <w:t xml:space="preserve">: no funding and financing to manufacturers based on MEPS and low GWP standards </w:t>
            </w:r>
          </w:p>
        </w:tc>
      </w:tr>
      <w:tr w:rsidR="0054754D" w:rsidRPr="0054754D" w14:paraId="41674A74" w14:textId="77777777" w:rsidTr="00483084">
        <w:tc>
          <w:tcPr>
            <w:tcW w:w="3828" w:type="dxa"/>
            <w:tcBorders>
              <w:bottom w:val="single" w:sz="4" w:space="0" w:color="auto"/>
            </w:tcBorders>
            <w:shd w:val="clear" w:color="auto" w:fill="auto"/>
          </w:tcPr>
          <w:p w14:paraId="0B18EBA8" w14:textId="23014075" w:rsidR="0054754D" w:rsidRDefault="0054754D" w:rsidP="00FE6FEC">
            <w:pPr>
              <w:autoSpaceDE w:val="0"/>
              <w:autoSpaceDN w:val="0"/>
              <w:adjustRightInd w:val="0"/>
              <w:spacing w:beforeLines="20" w:before="48" w:afterLines="20" w:after="48"/>
              <w:rPr>
                <w:rFonts w:ascii="Arial" w:hAnsi="Arial" w:cs="Arial"/>
                <w:b/>
                <w:sz w:val="18"/>
                <w:szCs w:val="18"/>
                <w:lang w:val="en-GB"/>
              </w:rPr>
            </w:pPr>
            <w:r>
              <w:rPr>
                <w:rFonts w:ascii="Arial" w:hAnsi="Arial" w:cs="Arial"/>
                <w:b/>
                <w:sz w:val="18"/>
                <w:szCs w:val="18"/>
                <w:lang w:val="en-GB"/>
              </w:rPr>
              <w:t xml:space="preserve">Output 2: </w:t>
            </w:r>
            <w:r w:rsidRPr="006A6F72">
              <w:rPr>
                <w:rFonts w:ascii="Arial" w:hAnsi="Arial" w:cs="Arial"/>
                <w:sz w:val="18"/>
                <w:szCs w:val="18"/>
                <w:lang w:val="en-GB"/>
              </w:rPr>
              <w:t>Producer are designing and producing climate friendly energy efficient refrigerators</w:t>
            </w:r>
          </w:p>
        </w:tc>
        <w:tc>
          <w:tcPr>
            <w:tcW w:w="9639" w:type="dxa"/>
            <w:tcBorders>
              <w:bottom w:val="single" w:sz="4" w:space="0" w:color="auto"/>
            </w:tcBorders>
            <w:shd w:val="clear" w:color="auto" w:fill="auto"/>
          </w:tcPr>
          <w:p w14:paraId="561536AB" w14:textId="405D0847" w:rsidR="0054754D" w:rsidRDefault="0054754D" w:rsidP="00AA2961">
            <w:pPr>
              <w:autoSpaceDE w:val="0"/>
              <w:autoSpaceDN w:val="0"/>
              <w:adjustRightInd w:val="0"/>
              <w:spacing w:afterLines="20" w:after="48"/>
              <w:rPr>
                <w:rFonts w:ascii="Arial" w:hAnsi="Arial" w:cs="Arial"/>
                <w:sz w:val="18"/>
                <w:szCs w:val="18"/>
                <w:lang w:val="en-GB"/>
              </w:rPr>
            </w:pPr>
            <w:r>
              <w:rPr>
                <w:rFonts w:ascii="Arial" w:hAnsi="Arial" w:cs="Arial"/>
                <w:sz w:val="18"/>
                <w:szCs w:val="18"/>
                <w:lang w:val="en-GB"/>
              </w:rPr>
              <w:t>FC:</w:t>
            </w:r>
          </w:p>
          <w:p w14:paraId="06DF1628" w14:textId="4C72A901" w:rsidR="0054754D" w:rsidRDefault="0054754D" w:rsidP="00AA2961">
            <w:pPr>
              <w:autoSpaceDE w:val="0"/>
              <w:autoSpaceDN w:val="0"/>
              <w:adjustRightInd w:val="0"/>
              <w:spacing w:afterLines="20" w:after="48"/>
              <w:rPr>
                <w:rFonts w:ascii="Arial" w:hAnsi="Arial" w:cs="Arial"/>
                <w:sz w:val="18"/>
                <w:szCs w:val="18"/>
                <w:lang w:val="en-GB"/>
              </w:rPr>
            </w:pPr>
            <w:r w:rsidRPr="00281FF2">
              <w:rPr>
                <w:rFonts w:ascii="Arial" w:hAnsi="Arial" w:cs="Arial"/>
                <w:b/>
                <w:sz w:val="18"/>
                <w:szCs w:val="18"/>
                <w:lang w:val="en-GB"/>
              </w:rPr>
              <w:t>Indicators</w:t>
            </w:r>
            <w:r>
              <w:rPr>
                <w:rFonts w:ascii="Arial" w:hAnsi="Arial" w:cs="Arial"/>
                <w:sz w:val="18"/>
                <w:szCs w:val="18"/>
                <w:lang w:val="en-GB"/>
              </w:rPr>
              <w:t>: 11 Mio EUR loans are disbursed to manufacturers for production line conversions by Q4/17; the investments are co-funded with manufacturers’ cash or in-kind contributions of 2 Mio EUR; the NAMA facility provides 2.8 Mio EUR as a concessional loan contribution for the financing.</w:t>
            </w:r>
          </w:p>
          <w:p w14:paraId="3761B122" w14:textId="77777777" w:rsidR="0054754D" w:rsidRDefault="0054754D" w:rsidP="00AA2961">
            <w:pPr>
              <w:autoSpaceDE w:val="0"/>
              <w:autoSpaceDN w:val="0"/>
              <w:adjustRightInd w:val="0"/>
              <w:spacing w:afterLines="20" w:after="48"/>
              <w:rPr>
                <w:rFonts w:ascii="Arial" w:hAnsi="Arial" w:cs="Arial"/>
                <w:sz w:val="18"/>
                <w:szCs w:val="18"/>
                <w:lang w:val="en-GB"/>
              </w:rPr>
            </w:pPr>
            <w:r w:rsidRPr="00281FF2">
              <w:rPr>
                <w:rFonts w:ascii="Arial" w:hAnsi="Arial" w:cs="Arial"/>
                <w:b/>
                <w:sz w:val="18"/>
                <w:szCs w:val="18"/>
                <w:lang w:val="en-GB"/>
              </w:rPr>
              <w:t>Baseline</w:t>
            </w:r>
            <w:r>
              <w:rPr>
                <w:rFonts w:ascii="Arial" w:hAnsi="Arial" w:cs="Arial"/>
                <w:sz w:val="18"/>
                <w:szCs w:val="18"/>
                <w:lang w:val="en-GB"/>
              </w:rPr>
              <w:t xml:space="preserve">: no investments, no financing for product redesign and production line conversions </w:t>
            </w:r>
          </w:p>
        </w:tc>
      </w:tr>
      <w:tr w:rsidR="0054754D" w:rsidRPr="0054754D" w14:paraId="17B1CDFA" w14:textId="77777777" w:rsidTr="00483084">
        <w:tc>
          <w:tcPr>
            <w:tcW w:w="3828" w:type="dxa"/>
            <w:tcBorders>
              <w:bottom w:val="single" w:sz="4" w:space="0" w:color="auto"/>
            </w:tcBorders>
            <w:shd w:val="clear" w:color="auto" w:fill="auto"/>
          </w:tcPr>
          <w:p w14:paraId="32A01AC2" w14:textId="27DBE481" w:rsidR="0054754D" w:rsidRDefault="0054754D" w:rsidP="00F95DB2">
            <w:pPr>
              <w:autoSpaceDE w:val="0"/>
              <w:autoSpaceDN w:val="0"/>
              <w:adjustRightInd w:val="0"/>
              <w:spacing w:beforeLines="20" w:before="48" w:afterLines="20" w:after="48"/>
              <w:rPr>
                <w:rFonts w:ascii="Arial" w:hAnsi="Arial" w:cs="Arial"/>
                <w:b/>
                <w:sz w:val="18"/>
                <w:szCs w:val="18"/>
                <w:lang w:val="en-GB"/>
              </w:rPr>
            </w:pPr>
            <w:r>
              <w:rPr>
                <w:rFonts w:ascii="Arial" w:hAnsi="Arial" w:cs="Arial"/>
                <w:b/>
                <w:sz w:val="18"/>
                <w:szCs w:val="18"/>
                <w:lang w:val="en-GB"/>
              </w:rPr>
              <w:t xml:space="preserve">Output 3: </w:t>
            </w:r>
            <w:r w:rsidRPr="006A6F72">
              <w:rPr>
                <w:rFonts w:ascii="Arial" w:hAnsi="Arial" w:cs="Arial"/>
                <w:sz w:val="18"/>
                <w:szCs w:val="18"/>
                <w:lang w:val="en-GB"/>
              </w:rPr>
              <w:t>New for old replacement programme is established.</w:t>
            </w:r>
          </w:p>
        </w:tc>
        <w:tc>
          <w:tcPr>
            <w:tcW w:w="9639" w:type="dxa"/>
            <w:tcBorders>
              <w:bottom w:val="single" w:sz="4" w:space="0" w:color="auto"/>
            </w:tcBorders>
            <w:shd w:val="clear" w:color="auto" w:fill="auto"/>
          </w:tcPr>
          <w:p w14:paraId="432F5D6B" w14:textId="32599D9A" w:rsidR="0054754D" w:rsidRDefault="0054754D" w:rsidP="00F95DB2">
            <w:pPr>
              <w:autoSpaceDE w:val="0"/>
              <w:autoSpaceDN w:val="0"/>
              <w:adjustRightInd w:val="0"/>
              <w:spacing w:afterLines="20" w:after="48"/>
              <w:rPr>
                <w:rFonts w:ascii="Arial" w:hAnsi="Arial" w:cs="Arial"/>
                <w:sz w:val="18"/>
                <w:szCs w:val="18"/>
                <w:lang w:val="en-GB"/>
              </w:rPr>
            </w:pPr>
            <w:r>
              <w:rPr>
                <w:rFonts w:ascii="Arial" w:hAnsi="Arial" w:cs="Arial"/>
                <w:sz w:val="18"/>
                <w:szCs w:val="18"/>
                <w:lang w:val="en-GB"/>
              </w:rPr>
              <w:t>FC:</w:t>
            </w:r>
          </w:p>
          <w:p w14:paraId="3248E007" w14:textId="4766C1E4" w:rsidR="0054754D" w:rsidRPr="00345381" w:rsidRDefault="0054754D" w:rsidP="00F95DB2">
            <w:pPr>
              <w:autoSpaceDE w:val="0"/>
              <w:autoSpaceDN w:val="0"/>
              <w:adjustRightInd w:val="0"/>
              <w:spacing w:afterLines="20" w:after="48"/>
              <w:rPr>
                <w:rFonts w:ascii="Arial" w:hAnsi="Arial" w:cs="Arial"/>
                <w:sz w:val="18"/>
                <w:szCs w:val="18"/>
                <w:lang w:val="en-GB"/>
              </w:rPr>
            </w:pPr>
            <w:r w:rsidRPr="00281FF2">
              <w:rPr>
                <w:rFonts w:ascii="Arial" w:hAnsi="Arial" w:cs="Arial"/>
                <w:b/>
                <w:sz w:val="18"/>
                <w:szCs w:val="18"/>
                <w:lang w:val="en-GB"/>
              </w:rPr>
              <w:t>Indicators</w:t>
            </w:r>
            <w:r>
              <w:rPr>
                <w:rFonts w:ascii="Arial" w:hAnsi="Arial" w:cs="Arial"/>
                <w:sz w:val="18"/>
                <w:szCs w:val="18"/>
                <w:lang w:val="en-GB"/>
              </w:rPr>
              <w:t xml:space="preserve">: Starting from 2018 to 2021, 300,000 green refrigerators are made available with on bill financing schemes to low income households (2018 and 2019: 50,000 each year, 2020 and 2021 100,000 each year); by Q4/17 the on bill financing scheme terms have been agreed with at least 1 major utility; at least 1 credit loan banks has entered into the agreement; From 2018 </w:t>
            </w:r>
            <w:r w:rsidRPr="00345381">
              <w:rPr>
                <w:rFonts w:ascii="Arial" w:hAnsi="Arial" w:cs="Arial"/>
                <w:sz w:val="18"/>
                <w:szCs w:val="18"/>
                <w:lang w:val="en-GB"/>
              </w:rPr>
              <w:t>annually at least  22.5 Mio EUR in credit loans will be disbursed through the on bill financing scheme; From 2020 annually at least 45 Mio EUR in credit loans will be disbursed through the on bill financing scheme, based in the above mentioned figures; That is during the NSP period 90 Mio EUR in credit loans will be disbursed through the on bill financing scheme.</w:t>
            </w:r>
          </w:p>
          <w:p w14:paraId="1EEC190C" w14:textId="77777777" w:rsidR="0054754D" w:rsidRDefault="0054754D" w:rsidP="00F95DB2">
            <w:pPr>
              <w:autoSpaceDE w:val="0"/>
              <w:autoSpaceDN w:val="0"/>
              <w:adjustRightInd w:val="0"/>
              <w:spacing w:afterLines="20" w:after="48"/>
              <w:rPr>
                <w:rFonts w:ascii="Arial" w:hAnsi="Arial" w:cs="Arial"/>
                <w:sz w:val="18"/>
                <w:szCs w:val="18"/>
                <w:lang w:val="en-GB"/>
              </w:rPr>
            </w:pPr>
          </w:p>
          <w:p w14:paraId="23388D8E" w14:textId="3072DDA6" w:rsidR="0054754D" w:rsidRDefault="0054754D" w:rsidP="00F95DB2">
            <w:pPr>
              <w:autoSpaceDE w:val="0"/>
              <w:autoSpaceDN w:val="0"/>
              <w:adjustRightInd w:val="0"/>
              <w:spacing w:afterLines="20" w:after="48"/>
              <w:rPr>
                <w:rFonts w:ascii="Arial" w:hAnsi="Arial" w:cs="Arial"/>
                <w:sz w:val="18"/>
                <w:szCs w:val="18"/>
                <w:lang w:val="en-GB"/>
              </w:rPr>
            </w:pPr>
            <w:r>
              <w:rPr>
                <w:rFonts w:ascii="Arial" w:hAnsi="Arial" w:cs="Arial"/>
                <w:sz w:val="18"/>
                <w:szCs w:val="18"/>
                <w:lang w:val="en-GB"/>
              </w:rPr>
              <w:t xml:space="preserve">The NAMA facility provides </w:t>
            </w:r>
            <w:r w:rsidRPr="00634B8A">
              <w:rPr>
                <w:rFonts w:ascii="Arial" w:hAnsi="Arial" w:cs="Arial"/>
                <w:sz w:val="18"/>
                <w:szCs w:val="18"/>
                <w:lang w:val="en-GB"/>
              </w:rPr>
              <w:t xml:space="preserve">3 Mio € to </w:t>
            </w:r>
            <w:r>
              <w:rPr>
                <w:rFonts w:ascii="Arial" w:hAnsi="Arial" w:cs="Arial"/>
                <w:sz w:val="18"/>
                <w:szCs w:val="18"/>
                <w:lang w:val="en-GB"/>
              </w:rPr>
              <w:t>the National Green Replacement fund,</w:t>
            </w:r>
            <w:r w:rsidRPr="00BF5FAA">
              <w:rPr>
                <w:lang w:val="en-GB"/>
              </w:rPr>
              <w:t xml:space="preserve"> </w:t>
            </w:r>
            <w:r w:rsidRPr="00BF5FAA">
              <w:rPr>
                <w:rFonts w:ascii="Arial" w:hAnsi="Arial" w:cs="Arial"/>
                <w:sz w:val="18"/>
                <w:szCs w:val="18"/>
                <w:lang w:val="en-GB"/>
              </w:rPr>
              <w:t>as a risk recovery fund sharing</w:t>
            </w:r>
            <w:r>
              <w:rPr>
                <w:rFonts w:ascii="Arial" w:hAnsi="Arial" w:cs="Arial"/>
                <w:sz w:val="18"/>
                <w:szCs w:val="18"/>
                <w:lang w:val="en-GB"/>
              </w:rPr>
              <w:t xml:space="preserve">, so that </w:t>
            </w:r>
            <w:r w:rsidRPr="00634B8A">
              <w:rPr>
                <w:rFonts w:ascii="Arial" w:hAnsi="Arial" w:cs="Arial"/>
                <w:sz w:val="18"/>
                <w:szCs w:val="18"/>
                <w:lang w:val="en-GB"/>
              </w:rPr>
              <w:t>loans</w:t>
            </w:r>
            <w:r>
              <w:rPr>
                <w:rFonts w:ascii="Arial" w:hAnsi="Arial" w:cs="Arial"/>
                <w:sz w:val="18"/>
                <w:szCs w:val="18"/>
                <w:lang w:val="en-GB"/>
              </w:rPr>
              <w:t xml:space="preserve"> can be offered</w:t>
            </w:r>
            <w:r w:rsidRPr="00634B8A">
              <w:rPr>
                <w:rFonts w:ascii="Arial" w:hAnsi="Arial" w:cs="Arial"/>
                <w:sz w:val="18"/>
                <w:szCs w:val="18"/>
                <w:lang w:val="en-GB"/>
              </w:rPr>
              <w:t xml:space="preserve"> to a broader spectrum of low-income households</w:t>
            </w:r>
            <w:r>
              <w:rPr>
                <w:rFonts w:ascii="Arial" w:hAnsi="Arial" w:cs="Arial"/>
                <w:sz w:val="18"/>
                <w:szCs w:val="18"/>
                <w:lang w:val="en-GB"/>
              </w:rPr>
              <w:t>.</w:t>
            </w:r>
          </w:p>
          <w:p w14:paraId="41ADEF10" w14:textId="77777777" w:rsidR="0054754D" w:rsidRPr="00345381" w:rsidRDefault="0054754D" w:rsidP="00F95DB2">
            <w:pPr>
              <w:autoSpaceDE w:val="0"/>
              <w:autoSpaceDN w:val="0"/>
              <w:adjustRightInd w:val="0"/>
              <w:spacing w:afterLines="20" w:after="48"/>
              <w:rPr>
                <w:rFonts w:ascii="Arial" w:hAnsi="Arial" w:cs="Arial"/>
                <w:sz w:val="18"/>
                <w:szCs w:val="18"/>
                <w:lang w:val="en-GB"/>
              </w:rPr>
            </w:pPr>
          </w:p>
          <w:p w14:paraId="0B1F9CA7" w14:textId="33F0A724" w:rsidR="0054754D" w:rsidRDefault="0054754D" w:rsidP="00F95DB2">
            <w:pPr>
              <w:autoSpaceDE w:val="0"/>
              <w:autoSpaceDN w:val="0"/>
              <w:adjustRightInd w:val="0"/>
              <w:spacing w:afterLines="20" w:after="48"/>
              <w:rPr>
                <w:rFonts w:ascii="Arial" w:hAnsi="Arial" w:cs="Arial"/>
                <w:sz w:val="18"/>
                <w:szCs w:val="18"/>
                <w:lang w:val="en-GB"/>
              </w:rPr>
            </w:pPr>
            <w:r w:rsidRPr="00345381">
              <w:rPr>
                <w:rFonts w:ascii="Arial" w:hAnsi="Arial" w:cs="Arial"/>
                <w:sz w:val="18"/>
                <w:szCs w:val="18"/>
                <w:lang w:val="en-GB"/>
              </w:rPr>
              <w:t>In 2018 and 2019, 50,000 households</w:t>
            </w:r>
            <w:r>
              <w:rPr>
                <w:rFonts w:ascii="Arial" w:hAnsi="Arial" w:cs="Arial"/>
                <w:sz w:val="18"/>
                <w:szCs w:val="18"/>
                <w:lang w:val="en-GB"/>
              </w:rPr>
              <w:t xml:space="preserve"> subscribe to the on bill financing scheme per year; In 2020 and 2021 there are 100,000 households per year.</w:t>
            </w:r>
          </w:p>
          <w:p w14:paraId="0D2DAF93" w14:textId="77777777" w:rsidR="0054754D" w:rsidRDefault="0054754D" w:rsidP="00F95DB2">
            <w:pPr>
              <w:autoSpaceDE w:val="0"/>
              <w:autoSpaceDN w:val="0"/>
              <w:adjustRightInd w:val="0"/>
              <w:spacing w:afterLines="20" w:after="48"/>
              <w:rPr>
                <w:rFonts w:ascii="Arial" w:hAnsi="Arial" w:cs="Arial"/>
                <w:sz w:val="18"/>
                <w:szCs w:val="18"/>
                <w:lang w:val="en-GB"/>
              </w:rPr>
            </w:pPr>
          </w:p>
          <w:p w14:paraId="56C970C8" w14:textId="1DF3ADFE" w:rsidR="0054754D" w:rsidRDefault="0054754D" w:rsidP="00341C82">
            <w:pPr>
              <w:autoSpaceDE w:val="0"/>
              <w:autoSpaceDN w:val="0"/>
              <w:adjustRightInd w:val="0"/>
              <w:spacing w:afterLines="20" w:after="48"/>
              <w:rPr>
                <w:rFonts w:ascii="Arial" w:hAnsi="Arial" w:cs="Arial"/>
                <w:sz w:val="18"/>
                <w:szCs w:val="18"/>
                <w:lang w:val="en-GB"/>
              </w:rPr>
            </w:pPr>
            <w:r w:rsidRPr="00281FF2">
              <w:rPr>
                <w:rFonts w:ascii="Arial" w:hAnsi="Arial" w:cs="Arial"/>
                <w:b/>
                <w:sz w:val="18"/>
                <w:szCs w:val="18"/>
                <w:lang w:val="en-GB"/>
              </w:rPr>
              <w:t>Baseline</w:t>
            </w:r>
            <w:r>
              <w:rPr>
                <w:rFonts w:ascii="Arial" w:hAnsi="Arial" w:cs="Arial"/>
                <w:sz w:val="18"/>
                <w:szCs w:val="18"/>
                <w:lang w:val="en-GB"/>
              </w:rPr>
              <w:t xml:space="preserve">: Climate friendly and energy efficient refrigerators are not available through on-bill financing replacement programme and are generally not accessible to low income classes; the related financing with utilities and banks had not been established; </w:t>
            </w:r>
          </w:p>
        </w:tc>
      </w:tr>
      <w:tr w:rsidR="0054754D" w:rsidRPr="0054754D" w14:paraId="589EBDB7" w14:textId="77777777" w:rsidTr="00483084">
        <w:tc>
          <w:tcPr>
            <w:tcW w:w="3828" w:type="dxa"/>
            <w:tcBorders>
              <w:bottom w:val="single" w:sz="4" w:space="0" w:color="auto"/>
            </w:tcBorders>
            <w:shd w:val="clear" w:color="auto" w:fill="auto"/>
          </w:tcPr>
          <w:p w14:paraId="1B37A7CB" w14:textId="4B63F53E" w:rsidR="0054754D" w:rsidRDefault="0054754D" w:rsidP="00F95DB2">
            <w:pPr>
              <w:autoSpaceDE w:val="0"/>
              <w:autoSpaceDN w:val="0"/>
              <w:adjustRightInd w:val="0"/>
              <w:spacing w:beforeLines="20" w:before="48" w:afterLines="20" w:after="48"/>
              <w:rPr>
                <w:rFonts w:ascii="Arial" w:hAnsi="Arial" w:cs="Arial"/>
                <w:b/>
                <w:sz w:val="18"/>
                <w:szCs w:val="18"/>
                <w:lang w:val="en-GB"/>
              </w:rPr>
            </w:pPr>
            <w:r>
              <w:rPr>
                <w:rFonts w:ascii="Arial" w:hAnsi="Arial" w:cs="Arial"/>
                <w:b/>
                <w:sz w:val="18"/>
                <w:szCs w:val="18"/>
                <w:lang w:val="en-GB"/>
              </w:rPr>
              <w:t xml:space="preserve">Output 4: </w:t>
            </w:r>
            <w:r w:rsidRPr="006A6F72">
              <w:rPr>
                <w:rFonts w:ascii="Arial" w:hAnsi="Arial" w:cs="Arial"/>
                <w:sz w:val="18"/>
                <w:szCs w:val="18"/>
                <w:lang w:val="en-GB"/>
              </w:rPr>
              <w:t>Old fridges are returned and processed in a recycling scheme</w:t>
            </w:r>
            <w:r>
              <w:rPr>
                <w:rFonts w:ascii="Arial" w:hAnsi="Arial" w:cs="Arial"/>
                <w:b/>
                <w:sz w:val="18"/>
                <w:szCs w:val="18"/>
                <w:lang w:val="en-GB"/>
              </w:rPr>
              <w:t xml:space="preserve"> </w:t>
            </w:r>
          </w:p>
        </w:tc>
        <w:tc>
          <w:tcPr>
            <w:tcW w:w="9639" w:type="dxa"/>
            <w:tcBorders>
              <w:bottom w:val="single" w:sz="4" w:space="0" w:color="auto"/>
            </w:tcBorders>
            <w:shd w:val="clear" w:color="auto" w:fill="auto"/>
          </w:tcPr>
          <w:p w14:paraId="412CE486" w14:textId="28669C27" w:rsidR="0054754D" w:rsidRDefault="0054754D" w:rsidP="00F95DB2">
            <w:pPr>
              <w:autoSpaceDE w:val="0"/>
              <w:autoSpaceDN w:val="0"/>
              <w:adjustRightInd w:val="0"/>
              <w:spacing w:afterLines="20" w:after="48"/>
              <w:rPr>
                <w:rFonts w:ascii="Arial" w:hAnsi="Arial" w:cs="Arial"/>
                <w:sz w:val="18"/>
                <w:szCs w:val="18"/>
                <w:lang w:val="en-GB"/>
              </w:rPr>
            </w:pPr>
            <w:r>
              <w:rPr>
                <w:rFonts w:ascii="Arial" w:hAnsi="Arial" w:cs="Arial"/>
                <w:sz w:val="18"/>
                <w:szCs w:val="18"/>
                <w:lang w:val="en-GB"/>
              </w:rPr>
              <w:t>FC:</w:t>
            </w:r>
          </w:p>
          <w:p w14:paraId="44513BAC" w14:textId="77777777" w:rsidR="0054754D" w:rsidRDefault="0054754D" w:rsidP="00F95DB2">
            <w:pPr>
              <w:autoSpaceDE w:val="0"/>
              <w:autoSpaceDN w:val="0"/>
              <w:adjustRightInd w:val="0"/>
              <w:spacing w:afterLines="20" w:after="48"/>
              <w:rPr>
                <w:rFonts w:ascii="Arial" w:hAnsi="Arial" w:cs="Arial"/>
                <w:sz w:val="18"/>
                <w:szCs w:val="18"/>
                <w:lang w:val="en-GB"/>
              </w:rPr>
            </w:pPr>
            <w:r w:rsidRPr="00281FF2">
              <w:rPr>
                <w:rFonts w:ascii="Arial" w:hAnsi="Arial" w:cs="Arial"/>
                <w:b/>
                <w:sz w:val="18"/>
                <w:szCs w:val="18"/>
                <w:lang w:val="en-GB"/>
              </w:rPr>
              <w:t>Indicators</w:t>
            </w:r>
            <w:r>
              <w:rPr>
                <w:rFonts w:ascii="Arial" w:hAnsi="Arial" w:cs="Arial"/>
                <w:sz w:val="18"/>
                <w:szCs w:val="18"/>
                <w:lang w:val="en-GB"/>
              </w:rPr>
              <w:t>: A feasibility study for a recycling system has been established with the required investment amounts into recycling facilities and the financing requirements through manufacturers (Q4/2017); the funding and financing scheme is agreed with the manufacturers association and other key stakeholders (Q2/2018); the financing scheme has been implemented (Q4/2018) and investments into recycling systems undertaken; in Q1/2019, 100% of fridges returned are recycled</w:t>
            </w:r>
          </w:p>
          <w:p w14:paraId="337576DB" w14:textId="49A50099" w:rsidR="0054754D" w:rsidRPr="00634B8A" w:rsidRDefault="0054754D" w:rsidP="000A3AE0">
            <w:pPr>
              <w:autoSpaceDE w:val="0"/>
              <w:autoSpaceDN w:val="0"/>
              <w:adjustRightInd w:val="0"/>
              <w:spacing w:afterLines="20" w:after="48"/>
              <w:rPr>
                <w:rFonts w:ascii="Arial" w:hAnsi="Arial" w:cs="Arial"/>
                <w:sz w:val="18"/>
                <w:szCs w:val="18"/>
                <w:lang w:val="en-GB"/>
              </w:rPr>
            </w:pPr>
            <w:r>
              <w:rPr>
                <w:rFonts w:ascii="Arial" w:hAnsi="Arial" w:cs="Arial"/>
                <w:sz w:val="18"/>
                <w:szCs w:val="18"/>
                <w:lang w:val="en-GB"/>
              </w:rPr>
              <w:t>The NAMA facility provides 0.5 Mio EUR for f</w:t>
            </w:r>
            <w:r w:rsidRPr="00634B8A">
              <w:rPr>
                <w:rFonts w:ascii="Arial" w:hAnsi="Arial" w:cs="Arial"/>
                <w:sz w:val="18"/>
                <w:szCs w:val="18"/>
                <w:lang w:val="en-GB"/>
              </w:rPr>
              <w:t xml:space="preserve">easibility studies </w:t>
            </w:r>
            <w:r>
              <w:rPr>
                <w:rFonts w:ascii="Arial" w:hAnsi="Arial" w:cs="Arial"/>
                <w:sz w:val="18"/>
                <w:szCs w:val="18"/>
                <w:lang w:val="en-GB"/>
              </w:rPr>
              <w:t xml:space="preserve">and </w:t>
            </w:r>
            <w:r w:rsidRPr="00634B8A">
              <w:rPr>
                <w:rFonts w:ascii="Arial" w:hAnsi="Arial" w:cs="Arial"/>
                <w:sz w:val="18"/>
                <w:szCs w:val="18"/>
                <w:lang w:val="en-GB"/>
              </w:rPr>
              <w:t>technological upgrades of recycling facilities</w:t>
            </w:r>
            <w:r>
              <w:rPr>
                <w:rFonts w:ascii="Arial" w:hAnsi="Arial" w:cs="Arial"/>
                <w:sz w:val="18"/>
                <w:szCs w:val="18"/>
                <w:lang w:val="en-GB"/>
              </w:rPr>
              <w:t xml:space="preserve">, </w:t>
            </w:r>
            <w:r w:rsidRPr="00634B8A">
              <w:rPr>
                <w:rFonts w:ascii="Arial" w:hAnsi="Arial" w:cs="Arial"/>
                <w:sz w:val="18"/>
                <w:szCs w:val="18"/>
                <w:lang w:val="en-GB"/>
              </w:rPr>
              <w:t>environmental man</w:t>
            </w:r>
            <w:r>
              <w:rPr>
                <w:rFonts w:ascii="Arial" w:hAnsi="Arial" w:cs="Arial"/>
                <w:sz w:val="18"/>
                <w:szCs w:val="18"/>
                <w:lang w:val="en-GB"/>
              </w:rPr>
              <w:t>a</w:t>
            </w:r>
            <w:r w:rsidRPr="00634B8A">
              <w:rPr>
                <w:rFonts w:ascii="Arial" w:hAnsi="Arial" w:cs="Arial"/>
                <w:sz w:val="18"/>
                <w:szCs w:val="18"/>
                <w:lang w:val="en-GB"/>
              </w:rPr>
              <w:t>gers</w:t>
            </w:r>
            <w:r>
              <w:rPr>
                <w:rFonts w:ascii="Arial" w:hAnsi="Arial" w:cs="Arial"/>
                <w:sz w:val="18"/>
                <w:szCs w:val="18"/>
                <w:lang w:val="en-GB"/>
              </w:rPr>
              <w:t xml:space="preserve"> will mobilize the same amount </w:t>
            </w:r>
            <w:r w:rsidRPr="00634B8A">
              <w:rPr>
                <w:rFonts w:ascii="Arial" w:hAnsi="Arial" w:cs="Arial"/>
                <w:sz w:val="18"/>
                <w:szCs w:val="18"/>
                <w:lang w:val="en-GB"/>
              </w:rPr>
              <w:t>for technological upgrades</w:t>
            </w:r>
            <w:r>
              <w:rPr>
                <w:rFonts w:ascii="Arial" w:hAnsi="Arial" w:cs="Arial"/>
                <w:sz w:val="18"/>
                <w:szCs w:val="18"/>
                <w:lang w:val="en-GB"/>
              </w:rPr>
              <w:t>.</w:t>
            </w:r>
          </w:p>
          <w:p w14:paraId="30D707C1" w14:textId="3BAA8BA7" w:rsidR="0054754D" w:rsidRDefault="0054754D" w:rsidP="00F95DB2">
            <w:pPr>
              <w:autoSpaceDE w:val="0"/>
              <w:autoSpaceDN w:val="0"/>
              <w:adjustRightInd w:val="0"/>
              <w:spacing w:afterLines="20" w:after="48"/>
              <w:rPr>
                <w:rFonts w:ascii="Arial" w:hAnsi="Arial" w:cs="Arial"/>
                <w:sz w:val="18"/>
                <w:szCs w:val="18"/>
                <w:lang w:val="en-GB"/>
              </w:rPr>
            </w:pPr>
            <w:r>
              <w:rPr>
                <w:rFonts w:ascii="Arial" w:hAnsi="Arial" w:cs="Arial"/>
                <w:sz w:val="18"/>
                <w:szCs w:val="18"/>
                <w:lang w:val="en-GB"/>
              </w:rPr>
              <w:t xml:space="preserve"> </w:t>
            </w:r>
          </w:p>
          <w:p w14:paraId="435D9840" w14:textId="5E8F8C2F" w:rsidR="0054754D" w:rsidRDefault="0054754D" w:rsidP="00F95DB2">
            <w:pPr>
              <w:autoSpaceDE w:val="0"/>
              <w:autoSpaceDN w:val="0"/>
              <w:adjustRightInd w:val="0"/>
              <w:spacing w:afterLines="20" w:after="48"/>
              <w:rPr>
                <w:rFonts w:ascii="Arial" w:hAnsi="Arial" w:cs="Arial"/>
                <w:sz w:val="18"/>
                <w:szCs w:val="18"/>
                <w:lang w:val="en-GB"/>
              </w:rPr>
            </w:pPr>
            <w:r w:rsidRPr="00281FF2">
              <w:rPr>
                <w:rFonts w:ascii="Arial" w:hAnsi="Arial" w:cs="Arial"/>
                <w:b/>
                <w:sz w:val="18"/>
                <w:szCs w:val="18"/>
                <w:lang w:val="en-GB"/>
              </w:rPr>
              <w:t>Baseline</w:t>
            </w:r>
            <w:r>
              <w:rPr>
                <w:rFonts w:ascii="Arial" w:hAnsi="Arial" w:cs="Arial"/>
                <w:sz w:val="18"/>
                <w:szCs w:val="18"/>
                <w:lang w:val="en-GB"/>
              </w:rPr>
              <w:t>: Very few fridges are returned under the current EPR scheme (</w:t>
            </w:r>
            <w:r w:rsidRPr="00F95DB2">
              <w:rPr>
                <w:rFonts w:ascii="Arial" w:hAnsi="Arial" w:cs="Arial"/>
                <w:sz w:val="18"/>
                <w:szCs w:val="18"/>
                <w:lang w:val="en-GB"/>
              </w:rPr>
              <w:t>&lt; 100 fridges within the fir</w:t>
            </w:r>
            <w:r>
              <w:rPr>
                <w:rFonts w:ascii="Arial" w:hAnsi="Arial" w:cs="Arial"/>
                <w:sz w:val="18"/>
                <w:szCs w:val="18"/>
                <w:lang w:val="en-GB"/>
              </w:rPr>
              <w:t>st half year of RED VERDE opera</w:t>
            </w:r>
            <w:r w:rsidRPr="00F95DB2">
              <w:rPr>
                <w:rFonts w:ascii="Arial" w:hAnsi="Arial" w:cs="Arial"/>
                <w:sz w:val="18"/>
                <w:szCs w:val="18"/>
                <w:lang w:val="en-GB"/>
              </w:rPr>
              <w:t>tion</w:t>
            </w:r>
            <w:r>
              <w:rPr>
                <w:rFonts w:ascii="Arial" w:hAnsi="Arial" w:cs="Arial"/>
                <w:sz w:val="18"/>
                <w:szCs w:val="18"/>
                <w:lang w:val="en-GB"/>
              </w:rPr>
              <w:t>), because attractive incentives are missing and most fridges being processed by the informal sector without proper recycling and recovery of fluorinated hydrocarbons: Funding for proper recycling from manufacturers and importers under the current EPR scheme is insufficient (</w:t>
            </w:r>
            <w:r w:rsidRPr="00F95DB2">
              <w:rPr>
                <w:rFonts w:ascii="Arial" w:hAnsi="Arial" w:cs="Arial"/>
                <w:sz w:val="18"/>
                <w:szCs w:val="18"/>
                <w:lang w:val="en-GB"/>
              </w:rPr>
              <w:t>112,000 € p.a.</w:t>
            </w:r>
            <w:r>
              <w:rPr>
                <w:rFonts w:ascii="Arial" w:hAnsi="Arial" w:cs="Arial"/>
                <w:sz w:val="18"/>
                <w:szCs w:val="18"/>
                <w:lang w:val="en-GB"/>
              </w:rPr>
              <w:t xml:space="preserve">), a functioning take-back recycling system has just started but is limited to Bogota; a replacement programme has not been established </w:t>
            </w:r>
          </w:p>
        </w:tc>
      </w:tr>
      <w:tr w:rsidR="0054754D" w:rsidRPr="0054754D" w14:paraId="5A29EA0E" w14:textId="77777777" w:rsidTr="00483084">
        <w:tc>
          <w:tcPr>
            <w:tcW w:w="3828" w:type="dxa"/>
            <w:tcBorders>
              <w:bottom w:val="single" w:sz="4" w:space="0" w:color="auto"/>
            </w:tcBorders>
            <w:shd w:val="clear" w:color="auto" w:fill="auto"/>
          </w:tcPr>
          <w:p w14:paraId="5CE0F41D" w14:textId="337FD038" w:rsidR="0054754D" w:rsidRDefault="0054754D" w:rsidP="00F95DB2">
            <w:pPr>
              <w:autoSpaceDE w:val="0"/>
              <w:autoSpaceDN w:val="0"/>
              <w:adjustRightInd w:val="0"/>
              <w:spacing w:beforeLines="20" w:before="48" w:afterLines="20" w:after="48"/>
              <w:rPr>
                <w:rFonts w:ascii="Arial" w:hAnsi="Arial" w:cs="Arial"/>
                <w:b/>
                <w:sz w:val="18"/>
                <w:szCs w:val="18"/>
                <w:lang w:val="en-GB"/>
              </w:rPr>
            </w:pPr>
            <w:r>
              <w:rPr>
                <w:rFonts w:ascii="Arial" w:hAnsi="Arial" w:cs="Arial"/>
                <w:b/>
                <w:sz w:val="18"/>
                <w:szCs w:val="18"/>
                <w:lang w:val="en-GB"/>
              </w:rPr>
              <w:t xml:space="preserve">Output 5: </w:t>
            </w:r>
            <w:r w:rsidRPr="006A6F72">
              <w:rPr>
                <w:rFonts w:ascii="Arial" w:hAnsi="Arial" w:cs="Arial"/>
                <w:sz w:val="18"/>
                <w:szCs w:val="18"/>
                <w:lang w:val="en-GB"/>
              </w:rPr>
              <w:t>Cross sectoral capacity building</w:t>
            </w:r>
            <w:r w:rsidRPr="00281FF2">
              <w:rPr>
                <w:rFonts w:ascii="Arial" w:hAnsi="Arial" w:cs="Arial"/>
                <w:b/>
                <w:sz w:val="18"/>
                <w:szCs w:val="18"/>
                <w:lang w:val="en-GB"/>
              </w:rPr>
              <w:t xml:space="preserve">  </w:t>
            </w:r>
          </w:p>
        </w:tc>
        <w:tc>
          <w:tcPr>
            <w:tcW w:w="9639" w:type="dxa"/>
            <w:tcBorders>
              <w:bottom w:val="single" w:sz="4" w:space="0" w:color="auto"/>
            </w:tcBorders>
            <w:shd w:val="clear" w:color="auto" w:fill="auto"/>
          </w:tcPr>
          <w:p w14:paraId="3D01E62F" w14:textId="26C5FB81" w:rsidR="0054754D" w:rsidRDefault="0054754D" w:rsidP="00F95DB2">
            <w:pPr>
              <w:autoSpaceDE w:val="0"/>
              <w:autoSpaceDN w:val="0"/>
              <w:adjustRightInd w:val="0"/>
              <w:spacing w:afterLines="20" w:after="48"/>
              <w:rPr>
                <w:rFonts w:ascii="Arial" w:hAnsi="Arial" w:cs="Arial"/>
                <w:sz w:val="18"/>
                <w:szCs w:val="18"/>
                <w:lang w:val="en-GB"/>
              </w:rPr>
            </w:pPr>
            <w:r>
              <w:rPr>
                <w:rFonts w:ascii="Arial" w:hAnsi="Arial" w:cs="Arial"/>
                <w:sz w:val="18"/>
                <w:szCs w:val="18"/>
                <w:lang w:val="en-GB"/>
              </w:rPr>
              <w:t>FC:</w:t>
            </w:r>
          </w:p>
          <w:p w14:paraId="0CE87743" w14:textId="3986C33B" w:rsidR="0054754D" w:rsidRDefault="0054754D" w:rsidP="00F95DB2">
            <w:pPr>
              <w:autoSpaceDE w:val="0"/>
              <w:autoSpaceDN w:val="0"/>
              <w:adjustRightInd w:val="0"/>
              <w:spacing w:afterLines="20" w:after="48"/>
              <w:rPr>
                <w:rFonts w:ascii="Arial" w:hAnsi="Arial" w:cs="Arial"/>
                <w:sz w:val="18"/>
                <w:szCs w:val="18"/>
                <w:lang w:val="en-GB"/>
              </w:rPr>
            </w:pPr>
            <w:r w:rsidRPr="00B52D25">
              <w:rPr>
                <w:rFonts w:ascii="Arial" w:hAnsi="Arial" w:cs="Arial"/>
                <w:b/>
                <w:sz w:val="18"/>
                <w:szCs w:val="18"/>
                <w:lang w:val="en-GB"/>
              </w:rPr>
              <w:t>Indicators</w:t>
            </w:r>
            <w:r>
              <w:rPr>
                <w:rFonts w:ascii="Arial" w:hAnsi="Arial" w:cs="Arial"/>
                <w:sz w:val="18"/>
                <w:szCs w:val="18"/>
                <w:lang w:val="en-GB"/>
              </w:rPr>
              <w:t xml:space="preserve">: At least 5 managers and financing officers of each participating manufacturer, banks, </w:t>
            </w:r>
            <w:proofErr w:type="gramStart"/>
            <w:r>
              <w:rPr>
                <w:rFonts w:ascii="Arial" w:hAnsi="Arial" w:cs="Arial"/>
                <w:sz w:val="18"/>
                <w:szCs w:val="18"/>
                <w:lang w:val="en-GB"/>
              </w:rPr>
              <w:t>utility</w:t>
            </w:r>
            <w:proofErr w:type="gramEnd"/>
            <w:r>
              <w:rPr>
                <w:rFonts w:ascii="Arial" w:hAnsi="Arial" w:cs="Arial"/>
                <w:sz w:val="18"/>
                <w:szCs w:val="18"/>
                <w:lang w:val="en-GB"/>
              </w:rPr>
              <w:t xml:space="preserve">, take-back-recycling enterprises trained biennially; at least financial tools are available by Q4/2018 for each bank, utility, end users association, resellers on the energy efficiency amortization of climate friendly refrigerators. </w:t>
            </w:r>
          </w:p>
          <w:p w14:paraId="4D34052E" w14:textId="503DA4E6" w:rsidR="0054754D" w:rsidRDefault="0054754D" w:rsidP="00F95DB2">
            <w:pPr>
              <w:autoSpaceDE w:val="0"/>
              <w:autoSpaceDN w:val="0"/>
              <w:adjustRightInd w:val="0"/>
              <w:spacing w:afterLines="20" w:after="48"/>
              <w:rPr>
                <w:rFonts w:ascii="Arial" w:hAnsi="Arial" w:cs="Arial"/>
                <w:sz w:val="18"/>
                <w:szCs w:val="18"/>
                <w:lang w:val="en-GB"/>
              </w:rPr>
            </w:pPr>
            <w:r w:rsidRPr="00B52D25">
              <w:rPr>
                <w:rFonts w:ascii="Arial" w:hAnsi="Arial" w:cs="Arial"/>
                <w:b/>
                <w:sz w:val="18"/>
                <w:szCs w:val="18"/>
                <w:lang w:val="en-GB"/>
              </w:rPr>
              <w:t>Baseline</w:t>
            </w:r>
            <w:r>
              <w:rPr>
                <w:rFonts w:ascii="Arial" w:hAnsi="Arial" w:cs="Arial"/>
                <w:sz w:val="18"/>
                <w:szCs w:val="18"/>
                <w:lang w:val="en-GB"/>
              </w:rPr>
              <w:t xml:space="preserve">: Insufficient know how by financing related managers and officers (manufacturers, banks, government, utilities, take-back &amp; recycling enterprises) on technology for climate friendly  and energy efficient appliances, energy saving potential; No training available; no tools available for estimating energy efficiency improvements and financial implications </w:t>
            </w:r>
          </w:p>
        </w:tc>
      </w:tr>
    </w:tbl>
    <w:p w14:paraId="6E6CB3BA" w14:textId="77777777" w:rsidR="00714614" w:rsidRPr="008F41D9" w:rsidRDefault="00714614">
      <w:pPr>
        <w:rPr>
          <w:lang w:val="en-GB"/>
        </w:rPr>
      </w:pPr>
      <w:r w:rsidRPr="008F41D9">
        <w:rPr>
          <w:b/>
          <w:lang w:val="en-GB"/>
        </w:rPr>
        <w:br w:type="page"/>
      </w:r>
    </w:p>
    <w:p w14:paraId="0D4334BF" w14:textId="30C2F820" w:rsidR="00320499" w:rsidRPr="00F51328" w:rsidRDefault="00483084" w:rsidP="00320499">
      <w:pPr>
        <w:tabs>
          <w:tab w:val="left" w:pos="1276"/>
          <w:tab w:val="left" w:pos="6379"/>
          <w:tab w:val="left" w:pos="6804"/>
        </w:tabs>
        <w:spacing w:after="240"/>
        <w:rPr>
          <w:rFonts w:ascii="Arial" w:hAnsi="Arial" w:cs="Arial"/>
          <w:b/>
          <w:i/>
          <w:sz w:val="18"/>
          <w:szCs w:val="18"/>
          <w:lang w:val="en-GB"/>
        </w:rPr>
      </w:pPr>
      <w:r>
        <w:rPr>
          <w:rFonts w:ascii="Arial" w:eastAsia="Calibri" w:hAnsi="Arial" w:cs="Arial"/>
          <w:b/>
          <w:i/>
          <w:sz w:val="20"/>
          <w:szCs w:val="20"/>
          <w:lang w:val="en-GB"/>
        </w:rPr>
        <w:t xml:space="preserve">The </w:t>
      </w:r>
      <w:r>
        <w:rPr>
          <w:rFonts w:ascii="Arial" w:eastAsia="Calibri" w:hAnsi="Arial" w:cs="Arial"/>
          <w:b/>
          <w:i/>
          <w:sz w:val="20"/>
          <w:szCs w:val="20"/>
          <w:lang w:val="en-GB"/>
        </w:rPr>
        <w:t>technological</w:t>
      </w:r>
      <w:r>
        <w:rPr>
          <w:rFonts w:ascii="Arial" w:eastAsia="Calibri" w:hAnsi="Arial" w:cs="Arial"/>
          <w:b/>
          <w:i/>
          <w:sz w:val="20"/>
          <w:szCs w:val="20"/>
          <w:lang w:val="en-GB"/>
        </w:rPr>
        <w:t xml:space="preserve"> component</w:t>
      </w:r>
    </w:p>
    <w:tbl>
      <w:tblPr>
        <w:tblW w:w="135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6916"/>
        <w:gridCol w:w="6658"/>
      </w:tblGrid>
      <w:tr w:rsidR="00F51328" w:rsidRPr="00634B8A" w14:paraId="77F6C056" w14:textId="77777777" w:rsidTr="00F51328">
        <w:trPr>
          <w:trHeight w:val="143"/>
          <w:tblHeader/>
        </w:trPr>
        <w:tc>
          <w:tcPr>
            <w:tcW w:w="6916" w:type="dxa"/>
            <w:tcBorders>
              <w:top w:val="single" w:sz="4" w:space="0" w:color="auto"/>
              <w:bottom w:val="single" w:sz="4" w:space="0" w:color="auto"/>
            </w:tcBorders>
            <w:shd w:val="clear" w:color="auto" w:fill="F2F2F2" w:themeFill="background1" w:themeFillShade="F2"/>
          </w:tcPr>
          <w:p w14:paraId="664B4865" w14:textId="77777777" w:rsidR="00F51328" w:rsidRPr="00634B8A" w:rsidRDefault="00F51328" w:rsidP="001C2B36">
            <w:pPr>
              <w:autoSpaceDE w:val="0"/>
              <w:autoSpaceDN w:val="0"/>
              <w:adjustRightInd w:val="0"/>
              <w:spacing w:beforeLines="20" w:before="48" w:afterLines="20" w:after="48"/>
              <w:rPr>
                <w:rFonts w:ascii="Arial" w:hAnsi="Arial" w:cs="Arial"/>
                <w:b/>
                <w:bCs/>
                <w:sz w:val="18"/>
                <w:szCs w:val="18"/>
                <w:lang w:val="en-GB"/>
              </w:rPr>
            </w:pPr>
            <w:r w:rsidRPr="00634B8A">
              <w:rPr>
                <w:rFonts w:ascii="Arial" w:hAnsi="Arial" w:cs="Arial"/>
                <w:b/>
                <w:bCs/>
                <w:sz w:val="18"/>
                <w:szCs w:val="18"/>
                <w:lang w:val="en-GB"/>
              </w:rPr>
              <w:t>Summary</w:t>
            </w:r>
          </w:p>
        </w:tc>
        <w:tc>
          <w:tcPr>
            <w:tcW w:w="6658" w:type="dxa"/>
            <w:tcBorders>
              <w:top w:val="single" w:sz="4" w:space="0" w:color="auto"/>
              <w:bottom w:val="single" w:sz="4" w:space="0" w:color="auto"/>
            </w:tcBorders>
            <w:shd w:val="clear" w:color="auto" w:fill="F2F2F2" w:themeFill="background1" w:themeFillShade="F2"/>
          </w:tcPr>
          <w:p w14:paraId="71252FB1" w14:textId="77777777" w:rsidR="00F51328" w:rsidRPr="00634B8A" w:rsidRDefault="00F51328" w:rsidP="001C2B36">
            <w:pPr>
              <w:autoSpaceDE w:val="0"/>
              <w:autoSpaceDN w:val="0"/>
              <w:adjustRightInd w:val="0"/>
              <w:spacing w:beforeLines="20" w:before="48" w:afterLines="20" w:after="48"/>
              <w:rPr>
                <w:rFonts w:ascii="Arial" w:hAnsi="Arial" w:cs="Arial"/>
                <w:b/>
                <w:bCs/>
                <w:sz w:val="18"/>
                <w:szCs w:val="18"/>
                <w:lang w:val="en-GB"/>
              </w:rPr>
            </w:pPr>
            <w:r w:rsidRPr="00634B8A">
              <w:rPr>
                <w:rFonts w:ascii="Arial" w:hAnsi="Arial" w:cs="Arial"/>
                <w:b/>
                <w:bCs/>
                <w:sz w:val="18"/>
                <w:szCs w:val="18"/>
                <w:lang w:val="en-GB"/>
              </w:rPr>
              <w:t>Indicators</w:t>
            </w:r>
          </w:p>
        </w:tc>
      </w:tr>
      <w:tr w:rsidR="00F51328" w:rsidRPr="00F51328" w14:paraId="25C8CA2E" w14:textId="77777777" w:rsidTr="00F51328">
        <w:trPr>
          <w:trHeight w:val="143"/>
        </w:trPr>
        <w:tc>
          <w:tcPr>
            <w:tcW w:w="6916" w:type="dxa"/>
            <w:tcBorders>
              <w:bottom w:val="single" w:sz="4" w:space="0" w:color="auto"/>
            </w:tcBorders>
            <w:shd w:val="clear" w:color="auto" w:fill="auto"/>
          </w:tcPr>
          <w:p w14:paraId="61817479" w14:textId="77777777" w:rsidR="00F51328" w:rsidRPr="00634B8A" w:rsidRDefault="00F51328" w:rsidP="00BC2F0B">
            <w:pPr>
              <w:autoSpaceDE w:val="0"/>
              <w:autoSpaceDN w:val="0"/>
              <w:adjustRightInd w:val="0"/>
              <w:spacing w:beforeLines="20" w:before="48" w:afterLines="20" w:after="48"/>
              <w:rPr>
                <w:rFonts w:ascii="Arial" w:hAnsi="Arial" w:cs="Arial"/>
                <w:b/>
                <w:sz w:val="18"/>
                <w:szCs w:val="18"/>
                <w:lang w:val="en-GB"/>
              </w:rPr>
            </w:pPr>
            <w:r w:rsidRPr="00634B8A">
              <w:rPr>
                <w:rFonts w:ascii="Arial" w:hAnsi="Arial" w:cs="Arial"/>
                <w:b/>
                <w:sz w:val="18"/>
                <w:szCs w:val="18"/>
                <w:lang w:val="en-GB"/>
              </w:rPr>
              <w:t>Overarching project goal</w:t>
            </w:r>
          </w:p>
          <w:p w14:paraId="3E5E22DE" w14:textId="77777777" w:rsidR="00F51328" w:rsidRDefault="00F51328" w:rsidP="00BC2F0B">
            <w:pPr>
              <w:autoSpaceDE w:val="0"/>
              <w:autoSpaceDN w:val="0"/>
              <w:adjustRightInd w:val="0"/>
              <w:spacing w:beforeLines="20" w:before="48" w:afterLines="20" w:after="48"/>
              <w:rPr>
                <w:rFonts w:ascii="Arial" w:hAnsi="Arial" w:cs="Arial"/>
                <w:sz w:val="18"/>
                <w:szCs w:val="18"/>
                <w:lang w:val="en-GB"/>
              </w:rPr>
            </w:pPr>
            <w:r>
              <w:rPr>
                <w:rFonts w:ascii="Arial" w:hAnsi="Arial" w:cs="Arial"/>
                <w:sz w:val="18"/>
                <w:szCs w:val="18"/>
                <w:lang w:val="en-GB"/>
              </w:rPr>
              <w:t xml:space="preserve">Complete transformation of the domestic refrigerator sectors to climate friendly, energy efficient appliances, the distribution of these green fridges within the country and old fridges to be recycled. </w:t>
            </w:r>
            <w:r w:rsidRPr="00634B8A">
              <w:rPr>
                <w:rFonts w:ascii="Arial" w:hAnsi="Arial" w:cs="Arial"/>
                <w:sz w:val="18"/>
                <w:szCs w:val="18"/>
                <w:lang w:val="en-GB"/>
              </w:rPr>
              <w:br/>
            </w:r>
          </w:p>
          <w:p w14:paraId="7D209A3A" w14:textId="77777777" w:rsidR="00F51328" w:rsidRPr="00634B8A" w:rsidRDefault="00F51328" w:rsidP="00BC2F0B">
            <w:pPr>
              <w:autoSpaceDE w:val="0"/>
              <w:autoSpaceDN w:val="0"/>
              <w:adjustRightInd w:val="0"/>
              <w:spacing w:beforeLines="20" w:before="48" w:afterLines="20" w:after="48"/>
              <w:rPr>
                <w:rFonts w:ascii="Arial" w:hAnsi="Arial" w:cs="Arial"/>
                <w:b/>
                <w:sz w:val="18"/>
                <w:szCs w:val="18"/>
                <w:lang w:val="en-GB"/>
              </w:rPr>
            </w:pPr>
          </w:p>
        </w:tc>
        <w:tc>
          <w:tcPr>
            <w:tcW w:w="6658" w:type="dxa"/>
            <w:tcBorders>
              <w:bottom w:val="single" w:sz="4" w:space="0" w:color="auto"/>
            </w:tcBorders>
            <w:shd w:val="clear" w:color="auto" w:fill="auto"/>
          </w:tcPr>
          <w:p w14:paraId="3C6C817B" w14:textId="77777777" w:rsidR="00F51328" w:rsidRDefault="00F51328" w:rsidP="00BC2F0B">
            <w:pPr>
              <w:autoSpaceDE w:val="0"/>
              <w:autoSpaceDN w:val="0"/>
              <w:adjustRightInd w:val="0"/>
              <w:spacing w:afterLines="20" w:after="48"/>
              <w:rPr>
                <w:rFonts w:ascii="Arial" w:hAnsi="Arial" w:cs="Arial"/>
                <w:sz w:val="18"/>
                <w:szCs w:val="18"/>
                <w:lang w:val="en-GB"/>
              </w:rPr>
            </w:pPr>
            <w:r w:rsidRPr="00281FF2">
              <w:rPr>
                <w:rFonts w:ascii="Arial" w:hAnsi="Arial" w:cs="Arial"/>
                <w:b/>
                <w:sz w:val="18"/>
                <w:szCs w:val="18"/>
                <w:lang w:val="en-GB"/>
              </w:rPr>
              <w:t>Indicators</w:t>
            </w:r>
            <w:r w:rsidRPr="00634B8A">
              <w:rPr>
                <w:rFonts w:ascii="Arial" w:hAnsi="Arial" w:cs="Arial"/>
                <w:sz w:val="18"/>
                <w:szCs w:val="18"/>
                <w:lang w:val="en-GB"/>
              </w:rPr>
              <w:t>:</w:t>
            </w:r>
          </w:p>
          <w:p w14:paraId="29B01591" w14:textId="77777777" w:rsidR="00F51328" w:rsidRDefault="00F51328" w:rsidP="00BC2F0B">
            <w:pPr>
              <w:pStyle w:val="ListParagraph"/>
              <w:numPr>
                <w:ilvl w:val="0"/>
                <w:numId w:val="31"/>
              </w:numPr>
              <w:autoSpaceDE w:val="0"/>
              <w:autoSpaceDN w:val="0"/>
              <w:adjustRightInd w:val="0"/>
              <w:spacing w:afterLines="20" w:after="48"/>
              <w:rPr>
                <w:rFonts w:ascii="Arial" w:hAnsi="Arial" w:cs="Arial"/>
                <w:sz w:val="18"/>
                <w:szCs w:val="18"/>
                <w:lang w:val="en-GB"/>
              </w:rPr>
            </w:pPr>
            <w:r w:rsidRPr="00B51FF9">
              <w:rPr>
                <w:rFonts w:ascii="Arial" w:hAnsi="Arial" w:cs="Arial"/>
                <w:b/>
                <w:sz w:val="18"/>
                <w:szCs w:val="18"/>
                <w:lang w:val="en-GB"/>
              </w:rPr>
              <w:t>Placed on the market:</w:t>
            </w:r>
            <w:r>
              <w:rPr>
                <w:rFonts w:ascii="Arial" w:hAnsi="Arial" w:cs="Arial"/>
                <w:sz w:val="18"/>
                <w:szCs w:val="18"/>
                <w:lang w:val="en-GB"/>
              </w:rPr>
              <w:t xml:space="preserve"> number of </w:t>
            </w:r>
            <w:r w:rsidRPr="00B51FF9">
              <w:rPr>
                <w:rFonts w:ascii="Arial" w:hAnsi="Arial" w:cs="Arial"/>
                <w:sz w:val="18"/>
                <w:szCs w:val="18"/>
                <w:lang w:val="en-GB"/>
              </w:rPr>
              <w:t>climate friendly, energy efficient refr</w:t>
            </w:r>
            <w:r>
              <w:rPr>
                <w:rFonts w:ascii="Arial" w:hAnsi="Arial" w:cs="Arial"/>
                <w:sz w:val="18"/>
                <w:szCs w:val="18"/>
                <w:lang w:val="en-GB"/>
              </w:rPr>
              <w:t>igerators placed on the market (1.1 to 1.2 Mio per year within the NSP period)</w:t>
            </w:r>
          </w:p>
          <w:p w14:paraId="633812E5" w14:textId="77777777" w:rsidR="00F51328" w:rsidRPr="00601D68" w:rsidRDefault="00F51328" w:rsidP="00BC2F0B">
            <w:pPr>
              <w:pStyle w:val="ListParagraph"/>
              <w:numPr>
                <w:ilvl w:val="0"/>
                <w:numId w:val="31"/>
              </w:numPr>
              <w:autoSpaceDE w:val="0"/>
              <w:autoSpaceDN w:val="0"/>
              <w:adjustRightInd w:val="0"/>
              <w:spacing w:afterLines="20" w:after="48"/>
              <w:rPr>
                <w:rFonts w:ascii="Arial" w:hAnsi="Arial" w:cs="Arial"/>
                <w:sz w:val="18"/>
                <w:szCs w:val="18"/>
                <w:lang w:val="en-GB"/>
              </w:rPr>
            </w:pPr>
            <w:r w:rsidRPr="00601D68">
              <w:rPr>
                <w:rFonts w:ascii="Arial" w:hAnsi="Arial" w:cs="Arial"/>
                <w:b/>
                <w:sz w:val="18"/>
                <w:szCs w:val="18"/>
                <w:lang w:val="en-GB"/>
              </w:rPr>
              <w:t>Emission reductions</w:t>
            </w:r>
            <w:r w:rsidRPr="00601D68">
              <w:rPr>
                <w:rFonts w:ascii="Arial" w:hAnsi="Arial" w:cs="Arial"/>
                <w:sz w:val="18"/>
                <w:szCs w:val="18"/>
                <w:lang w:val="en-GB"/>
              </w:rPr>
              <w:t xml:space="preserve">: New fridges on the market causing 3.8 to 4 Mt CO2eq savings per year with in the NSP (calculated over </w:t>
            </w:r>
            <w:r w:rsidRPr="00123C4B">
              <w:rPr>
                <w:rFonts w:ascii="Arial" w:hAnsi="Arial" w:cs="Arial"/>
                <w:sz w:val="18"/>
                <w:szCs w:val="18"/>
                <w:lang w:val="en-GB"/>
              </w:rPr>
              <w:t xml:space="preserve">life time of equipment); Recycling of old fridges will reduce 380 </w:t>
            </w:r>
            <w:proofErr w:type="spellStart"/>
            <w:r w:rsidRPr="00123C4B">
              <w:rPr>
                <w:rFonts w:ascii="Arial" w:hAnsi="Arial" w:cs="Arial"/>
                <w:sz w:val="18"/>
                <w:szCs w:val="18"/>
                <w:lang w:val="en-GB"/>
              </w:rPr>
              <w:t>kt</w:t>
            </w:r>
            <w:proofErr w:type="spellEnd"/>
            <w:r w:rsidRPr="00123C4B">
              <w:rPr>
                <w:rFonts w:ascii="Arial" w:hAnsi="Arial" w:cs="Arial"/>
                <w:sz w:val="18"/>
                <w:szCs w:val="18"/>
                <w:lang w:val="en-GB"/>
              </w:rPr>
              <w:t xml:space="preserve">  CO2eq per year with beginning of  2019</w:t>
            </w:r>
          </w:p>
          <w:p w14:paraId="7939D65F" w14:textId="77777777" w:rsidR="00F51328" w:rsidRDefault="00F51328" w:rsidP="00BC2F0B">
            <w:pPr>
              <w:pStyle w:val="ListParagraph"/>
              <w:numPr>
                <w:ilvl w:val="0"/>
                <w:numId w:val="31"/>
              </w:numPr>
              <w:autoSpaceDE w:val="0"/>
              <w:autoSpaceDN w:val="0"/>
              <w:adjustRightInd w:val="0"/>
              <w:spacing w:afterLines="20" w:after="48"/>
              <w:rPr>
                <w:rFonts w:ascii="Arial" w:hAnsi="Arial" w:cs="Arial"/>
                <w:sz w:val="18"/>
                <w:szCs w:val="18"/>
                <w:lang w:val="en-GB"/>
              </w:rPr>
            </w:pPr>
            <w:r w:rsidRPr="00123C4B">
              <w:rPr>
                <w:rFonts w:ascii="Arial" w:hAnsi="Arial" w:cs="Arial"/>
                <w:b/>
                <w:sz w:val="18"/>
                <w:szCs w:val="18"/>
                <w:lang w:val="en-GB"/>
              </w:rPr>
              <w:t>Volume of public finance</w:t>
            </w:r>
            <w:r>
              <w:rPr>
                <w:rFonts w:ascii="Arial" w:hAnsi="Arial" w:cs="Arial"/>
                <w:sz w:val="18"/>
                <w:szCs w:val="18"/>
                <w:lang w:val="en-GB"/>
              </w:rPr>
              <w:t>: 13 Mio €</w:t>
            </w:r>
          </w:p>
          <w:p w14:paraId="3AE1EC07" w14:textId="77777777" w:rsidR="00F51328" w:rsidRDefault="00F51328" w:rsidP="00BC2F0B">
            <w:pPr>
              <w:pStyle w:val="ListParagraph"/>
              <w:numPr>
                <w:ilvl w:val="0"/>
                <w:numId w:val="31"/>
              </w:numPr>
              <w:autoSpaceDE w:val="0"/>
              <w:autoSpaceDN w:val="0"/>
              <w:adjustRightInd w:val="0"/>
              <w:spacing w:afterLines="20" w:after="48"/>
              <w:rPr>
                <w:rFonts w:ascii="Arial" w:hAnsi="Arial" w:cs="Arial"/>
                <w:sz w:val="18"/>
                <w:szCs w:val="18"/>
                <w:lang w:val="en-GB"/>
              </w:rPr>
            </w:pPr>
            <w:r w:rsidRPr="00123C4B">
              <w:rPr>
                <w:rFonts w:ascii="Arial" w:hAnsi="Arial" w:cs="Arial"/>
                <w:b/>
                <w:sz w:val="18"/>
                <w:szCs w:val="18"/>
                <w:lang w:val="en-GB"/>
              </w:rPr>
              <w:t>Volume of private finance:</w:t>
            </w:r>
            <w:r>
              <w:rPr>
                <w:rFonts w:ascii="Arial" w:hAnsi="Arial" w:cs="Arial"/>
                <w:sz w:val="18"/>
                <w:szCs w:val="18"/>
                <w:lang w:val="en-GB"/>
              </w:rPr>
              <w:t xml:space="preserve"> 100 Mio € </w:t>
            </w:r>
          </w:p>
          <w:p w14:paraId="0828A994" w14:textId="3391B210" w:rsidR="00F51328" w:rsidRDefault="00F51328" w:rsidP="00BC2F0B">
            <w:pPr>
              <w:pStyle w:val="ListParagraph"/>
              <w:numPr>
                <w:ilvl w:val="0"/>
                <w:numId w:val="31"/>
              </w:numPr>
              <w:autoSpaceDE w:val="0"/>
              <w:autoSpaceDN w:val="0"/>
              <w:adjustRightInd w:val="0"/>
              <w:spacing w:afterLines="20" w:after="48"/>
              <w:rPr>
                <w:rFonts w:ascii="Arial" w:hAnsi="Arial" w:cs="Arial"/>
                <w:sz w:val="18"/>
                <w:szCs w:val="18"/>
                <w:lang w:val="en-GB"/>
              </w:rPr>
            </w:pPr>
            <w:r w:rsidRPr="00123C4B">
              <w:rPr>
                <w:rFonts w:ascii="Arial" w:hAnsi="Arial" w:cs="Arial"/>
                <w:b/>
                <w:sz w:val="18"/>
                <w:szCs w:val="18"/>
                <w:lang w:val="en-GB"/>
              </w:rPr>
              <w:t>People directly benefitting</w:t>
            </w:r>
            <w:r>
              <w:rPr>
                <w:rFonts w:ascii="Arial" w:hAnsi="Arial" w:cs="Arial"/>
                <w:sz w:val="18"/>
                <w:szCs w:val="18"/>
                <w:lang w:val="en-GB"/>
              </w:rPr>
              <w:t xml:space="preserve">: </w:t>
            </w:r>
            <w:r w:rsidRPr="00601D68">
              <w:rPr>
                <w:rFonts w:ascii="Arial" w:hAnsi="Arial" w:cs="Arial"/>
                <w:sz w:val="18"/>
                <w:szCs w:val="18"/>
                <w:lang w:val="en-GB"/>
              </w:rPr>
              <w:t>300.000 low income households</w:t>
            </w:r>
            <w:r>
              <w:rPr>
                <w:rFonts w:ascii="Arial" w:hAnsi="Arial" w:cs="Arial"/>
                <w:sz w:val="18"/>
                <w:szCs w:val="18"/>
                <w:lang w:val="en-GB"/>
              </w:rPr>
              <w:t xml:space="preserve"> receive green fridges with energy cost savings (50% savings) in 5 years</w:t>
            </w:r>
          </w:p>
          <w:p w14:paraId="1AFE4EDC" w14:textId="77777777" w:rsidR="00F51328" w:rsidRPr="00123C4B" w:rsidRDefault="00F51328" w:rsidP="00BC2F0B">
            <w:pPr>
              <w:pStyle w:val="ListParagraph"/>
              <w:numPr>
                <w:ilvl w:val="0"/>
                <w:numId w:val="31"/>
              </w:numPr>
              <w:autoSpaceDE w:val="0"/>
              <w:autoSpaceDN w:val="0"/>
              <w:adjustRightInd w:val="0"/>
              <w:spacing w:afterLines="20" w:after="48"/>
              <w:rPr>
                <w:rFonts w:ascii="Arial" w:hAnsi="Arial" w:cs="Arial"/>
                <w:sz w:val="18"/>
                <w:szCs w:val="18"/>
                <w:lang w:val="en-GB"/>
              </w:rPr>
            </w:pPr>
            <w:r w:rsidRPr="00123C4B">
              <w:rPr>
                <w:rFonts w:ascii="Arial" w:hAnsi="Arial" w:cs="Arial"/>
                <w:b/>
                <w:sz w:val="18"/>
                <w:szCs w:val="18"/>
                <w:lang w:val="en-GB"/>
              </w:rPr>
              <w:t>Transformational change</w:t>
            </w:r>
            <w:r w:rsidRPr="00123C4B">
              <w:rPr>
                <w:rFonts w:ascii="Arial" w:hAnsi="Arial" w:cs="Arial"/>
                <w:sz w:val="18"/>
                <w:szCs w:val="18"/>
                <w:lang w:val="en-GB"/>
              </w:rPr>
              <w:t xml:space="preserve">: after the mechanisms established under NSP, extension to appliance sector under RED VERDE platform </w:t>
            </w:r>
          </w:p>
          <w:p w14:paraId="29241B53" w14:textId="77777777" w:rsidR="00F51328" w:rsidRPr="00634B8A" w:rsidRDefault="00F51328" w:rsidP="00BC2F0B">
            <w:pPr>
              <w:autoSpaceDE w:val="0"/>
              <w:autoSpaceDN w:val="0"/>
              <w:adjustRightInd w:val="0"/>
              <w:spacing w:afterLines="20" w:after="48"/>
              <w:rPr>
                <w:rFonts w:ascii="Arial" w:hAnsi="Arial" w:cs="Arial"/>
                <w:sz w:val="18"/>
                <w:szCs w:val="18"/>
                <w:lang w:val="en-GB"/>
              </w:rPr>
            </w:pPr>
          </w:p>
          <w:p w14:paraId="66C9AE6F" w14:textId="69390AFA" w:rsidR="00F51328" w:rsidRPr="00634B8A" w:rsidRDefault="00F51328" w:rsidP="00BC2F0B">
            <w:pPr>
              <w:autoSpaceDE w:val="0"/>
              <w:autoSpaceDN w:val="0"/>
              <w:adjustRightInd w:val="0"/>
              <w:spacing w:afterLines="20" w:after="48"/>
              <w:rPr>
                <w:rFonts w:ascii="Arial" w:hAnsi="Arial" w:cs="Arial"/>
                <w:sz w:val="18"/>
                <w:szCs w:val="18"/>
                <w:lang w:val="en-GB"/>
              </w:rPr>
            </w:pPr>
            <w:r w:rsidRPr="00281FF2">
              <w:rPr>
                <w:rFonts w:ascii="Arial" w:hAnsi="Arial" w:cs="Arial"/>
                <w:b/>
                <w:sz w:val="18"/>
                <w:szCs w:val="18"/>
                <w:lang w:val="en-GB"/>
              </w:rPr>
              <w:t>Baseline</w:t>
            </w:r>
            <w:r w:rsidRPr="00634B8A">
              <w:rPr>
                <w:rFonts w:ascii="Arial" w:hAnsi="Arial" w:cs="Arial"/>
                <w:sz w:val="18"/>
                <w:szCs w:val="18"/>
                <w:lang w:val="en-GB"/>
              </w:rPr>
              <w:t>:</w:t>
            </w:r>
            <w:r>
              <w:rPr>
                <w:rFonts w:ascii="Arial" w:hAnsi="Arial" w:cs="Arial"/>
                <w:sz w:val="18"/>
                <w:szCs w:val="18"/>
                <w:lang w:val="en-GB"/>
              </w:rPr>
              <w:t xml:space="preserve"> All refrigerators currently sold have high energy consumptions (average 850 KWh/year) and contain high GWP refrigerants; refrigerators are not properly recycled and refrigerants escape into the atmosphere; </w:t>
            </w:r>
          </w:p>
        </w:tc>
      </w:tr>
      <w:tr w:rsidR="00F51328" w:rsidRPr="0054754D" w14:paraId="27285AD6" w14:textId="77777777" w:rsidTr="00F51328">
        <w:trPr>
          <w:trHeight w:val="143"/>
        </w:trPr>
        <w:tc>
          <w:tcPr>
            <w:tcW w:w="6916" w:type="dxa"/>
            <w:tcBorders>
              <w:top w:val="single" w:sz="4" w:space="0" w:color="auto"/>
              <w:left w:val="single" w:sz="4" w:space="0" w:color="auto"/>
              <w:bottom w:val="single" w:sz="4" w:space="0" w:color="auto"/>
              <w:right w:val="single" w:sz="4" w:space="0" w:color="auto"/>
            </w:tcBorders>
          </w:tcPr>
          <w:p w14:paraId="25DBB9DA" w14:textId="74E2AD54" w:rsidR="00F51328" w:rsidRPr="00634B8A" w:rsidRDefault="00F51328" w:rsidP="00BC2F0B">
            <w:pPr>
              <w:autoSpaceDE w:val="0"/>
              <w:autoSpaceDN w:val="0"/>
              <w:adjustRightInd w:val="0"/>
              <w:spacing w:beforeLines="20" w:before="48" w:afterLines="20" w:after="48"/>
              <w:rPr>
                <w:rFonts w:ascii="Arial" w:hAnsi="Arial" w:cs="Arial"/>
                <w:b/>
                <w:bCs/>
                <w:sz w:val="18"/>
                <w:szCs w:val="18"/>
                <w:lang w:val="en-GB"/>
              </w:rPr>
            </w:pPr>
            <w:r w:rsidRPr="00634B8A">
              <w:rPr>
                <w:rFonts w:ascii="Arial" w:hAnsi="Arial" w:cs="Arial"/>
                <w:b/>
                <w:bCs/>
                <w:sz w:val="18"/>
                <w:szCs w:val="18"/>
                <w:lang w:val="en-GB"/>
              </w:rPr>
              <w:t xml:space="preserve">Outcome </w:t>
            </w:r>
          </w:p>
          <w:p w14:paraId="342F7FCA" w14:textId="633F04E7" w:rsidR="00F51328" w:rsidRPr="000C1CD9" w:rsidRDefault="00F51328" w:rsidP="000C1CD9">
            <w:pPr>
              <w:autoSpaceDE w:val="0"/>
              <w:autoSpaceDN w:val="0"/>
              <w:adjustRightInd w:val="0"/>
              <w:spacing w:beforeLines="50" w:before="120" w:afterLines="20" w:after="48"/>
              <w:rPr>
                <w:rFonts w:ascii="Arial" w:hAnsi="Arial" w:cs="Arial"/>
                <w:sz w:val="18"/>
                <w:szCs w:val="18"/>
                <w:lang w:val="en-GB"/>
              </w:rPr>
            </w:pPr>
            <w:r>
              <w:rPr>
                <w:rFonts w:ascii="Arial" w:hAnsi="Arial" w:cs="Arial"/>
                <w:sz w:val="18"/>
                <w:szCs w:val="18"/>
                <w:lang w:val="en-GB"/>
              </w:rPr>
              <w:t>All three Colombian manufacturers have converted their production lines to produce climate friendly and efficient fridges. With the enabling policy framework, only green fridges will be sold on the Colombian market, the established replacement will promote the distribution of green fridges in the country while old returned fridges are subject to recycling.</w:t>
            </w:r>
          </w:p>
        </w:tc>
        <w:tc>
          <w:tcPr>
            <w:tcW w:w="6658" w:type="dxa"/>
            <w:tcBorders>
              <w:top w:val="single" w:sz="4" w:space="0" w:color="auto"/>
              <w:left w:val="single" w:sz="4" w:space="0" w:color="auto"/>
              <w:bottom w:val="single" w:sz="4" w:space="0" w:color="auto"/>
              <w:right w:val="single" w:sz="4" w:space="0" w:color="auto"/>
            </w:tcBorders>
          </w:tcPr>
          <w:p w14:paraId="036AB456" w14:textId="77777777" w:rsidR="00F51328" w:rsidRDefault="00F51328" w:rsidP="000C1CD9">
            <w:pPr>
              <w:autoSpaceDE w:val="0"/>
              <w:autoSpaceDN w:val="0"/>
              <w:adjustRightInd w:val="0"/>
              <w:spacing w:afterLines="20" w:after="48"/>
              <w:rPr>
                <w:rFonts w:ascii="Arial" w:hAnsi="Arial" w:cs="Arial"/>
                <w:sz w:val="18"/>
                <w:szCs w:val="18"/>
                <w:lang w:val="en-GB"/>
              </w:rPr>
            </w:pPr>
          </w:p>
          <w:p w14:paraId="5164F085" w14:textId="589B2578" w:rsidR="00F51328" w:rsidRPr="00634B8A" w:rsidRDefault="00F51328" w:rsidP="000C1CD9">
            <w:pPr>
              <w:autoSpaceDE w:val="0"/>
              <w:autoSpaceDN w:val="0"/>
              <w:adjustRightInd w:val="0"/>
              <w:spacing w:afterLines="20" w:after="48"/>
              <w:rPr>
                <w:rFonts w:ascii="Arial" w:hAnsi="Arial" w:cs="Arial"/>
                <w:sz w:val="18"/>
                <w:szCs w:val="18"/>
                <w:lang w:val="en-GB"/>
              </w:rPr>
            </w:pPr>
            <w:r w:rsidRPr="00B863CC">
              <w:rPr>
                <w:rFonts w:ascii="Arial" w:hAnsi="Arial" w:cs="Arial"/>
                <w:b/>
                <w:sz w:val="18"/>
                <w:szCs w:val="18"/>
                <w:lang w:val="en-GB"/>
              </w:rPr>
              <w:t>Indicator</w:t>
            </w:r>
            <w:r w:rsidRPr="00634B8A">
              <w:rPr>
                <w:rFonts w:ascii="Arial" w:hAnsi="Arial" w:cs="Arial"/>
                <w:sz w:val="18"/>
                <w:szCs w:val="18"/>
                <w:lang w:val="en-GB"/>
              </w:rPr>
              <w:t xml:space="preserve">: </w:t>
            </w:r>
            <w:r>
              <w:rPr>
                <w:rFonts w:ascii="Arial" w:hAnsi="Arial" w:cs="Arial"/>
                <w:sz w:val="18"/>
                <w:szCs w:val="18"/>
                <w:lang w:val="en-GB"/>
              </w:rPr>
              <w:t xml:space="preserve">Number of production lines converted (all manufacturers to convert within the first year of NSP); </w:t>
            </w:r>
            <w:r w:rsidRPr="00634B8A">
              <w:rPr>
                <w:rFonts w:ascii="Arial" w:hAnsi="Arial" w:cs="Arial"/>
                <w:sz w:val="18"/>
                <w:szCs w:val="18"/>
                <w:lang w:val="en-GB"/>
              </w:rPr>
              <w:t xml:space="preserve">Number of </w:t>
            </w:r>
            <w:r>
              <w:rPr>
                <w:rFonts w:ascii="Arial" w:hAnsi="Arial" w:cs="Arial"/>
                <w:sz w:val="18"/>
                <w:szCs w:val="18"/>
                <w:lang w:val="en-GB"/>
              </w:rPr>
              <w:t xml:space="preserve">domestic refrigerators produced, imported and </w:t>
            </w:r>
            <w:r w:rsidRPr="00634B8A">
              <w:rPr>
                <w:rFonts w:ascii="Arial" w:hAnsi="Arial" w:cs="Arial"/>
                <w:sz w:val="18"/>
                <w:szCs w:val="18"/>
                <w:lang w:val="en-GB"/>
              </w:rPr>
              <w:t xml:space="preserve">sold in Colombia as well as recycled </w:t>
            </w:r>
            <w:r>
              <w:rPr>
                <w:rFonts w:ascii="Arial" w:hAnsi="Arial" w:cs="Arial"/>
                <w:sz w:val="18"/>
                <w:szCs w:val="18"/>
                <w:lang w:val="en-GB"/>
              </w:rPr>
              <w:t xml:space="preserve">units; </w:t>
            </w:r>
            <w:r w:rsidRPr="00634B8A">
              <w:rPr>
                <w:rFonts w:ascii="Arial" w:hAnsi="Arial" w:cs="Arial"/>
                <w:sz w:val="18"/>
                <w:szCs w:val="18"/>
                <w:lang w:val="en-GB"/>
              </w:rPr>
              <w:t>4.7</w:t>
            </w:r>
            <w:r w:rsidRPr="00634B8A">
              <w:rPr>
                <w:rStyle w:val="FootnoteReference"/>
                <w:rFonts w:ascii="Arial" w:hAnsi="Arial" w:cs="Arial"/>
                <w:sz w:val="18"/>
                <w:szCs w:val="18"/>
                <w:lang w:val="en-GB"/>
              </w:rPr>
              <w:footnoteReference w:id="1"/>
            </w:r>
            <w:r w:rsidRPr="00634B8A">
              <w:rPr>
                <w:rFonts w:ascii="Arial" w:hAnsi="Arial" w:cs="Arial"/>
                <w:sz w:val="18"/>
                <w:szCs w:val="18"/>
                <w:lang w:val="en-GB"/>
              </w:rPr>
              <w:t xml:space="preserve"> Mio green fridges (high efficiency and HFC-free) </w:t>
            </w:r>
            <w:r>
              <w:rPr>
                <w:rFonts w:ascii="Arial" w:hAnsi="Arial" w:cs="Arial"/>
                <w:sz w:val="18"/>
                <w:szCs w:val="18"/>
                <w:lang w:val="en-GB"/>
              </w:rPr>
              <w:t xml:space="preserve">are </w:t>
            </w:r>
            <w:r w:rsidRPr="00634B8A">
              <w:rPr>
                <w:rFonts w:ascii="Arial" w:hAnsi="Arial" w:cs="Arial"/>
                <w:sz w:val="18"/>
                <w:szCs w:val="18"/>
                <w:lang w:val="en-GB"/>
              </w:rPr>
              <w:t xml:space="preserve">sold within </w:t>
            </w:r>
            <w:r>
              <w:rPr>
                <w:rFonts w:ascii="Arial" w:hAnsi="Arial" w:cs="Arial"/>
                <w:sz w:val="18"/>
                <w:szCs w:val="18"/>
                <w:lang w:val="en-GB"/>
              </w:rPr>
              <w:t>NSP period</w:t>
            </w:r>
            <w:r w:rsidRPr="00634B8A">
              <w:rPr>
                <w:rFonts w:ascii="Arial" w:hAnsi="Arial" w:cs="Arial"/>
                <w:sz w:val="18"/>
                <w:szCs w:val="18"/>
                <w:lang w:val="en-GB"/>
              </w:rPr>
              <w:t xml:space="preserve"> resulting in 15.7 Mt CO2eq emission savings</w:t>
            </w:r>
            <w:r>
              <w:rPr>
                <w:rFonts w:ascii="Arial" w:hAnsi="Arial" w:cs="Arial"/>
                <w:sz w:val="18"/>
                <w:szCs w:val="18"/>
                <w:lang w:val="en-GB"/>
              </w:rPr>
              <w:t>;</w:t>
            </w:r>
            <w:r w:rsidRPr="00634B8A">
              <w:rPr>
                <w:rFonts w:ascii="Arial" w:hAnsi="Arial" w:cs="Arial"/>
                <w:sz w:val="18"/>
                <w:szCs w:val="18"/>
                <w:lang w:val="en-GB"/>
              </w:rPr>
              <w:t xml:space="preserve"> 300,000 old CFC subject to proper recycling resulting i</w:t>
            </w:r>
            <w:r>
              <w:rPr>
                <w:rFonts w:ascii="Arial" w:hAnsi="Arial" w:cs="Arial"/>
                <w:sz w:val="18"/>
                <w:szCs w:val="18"/>
                <w:lang w:val="en-GB"/>
              </w:rPr>
              <w:t>n 1.1 Mt CO2eq emission savings</w:t>
            </w:r>
          </w:p>
          <w:p w14:paraId="286C098A" w14:textId="77777777" w:rsidR="00F51328" w:rsidRPr="00634B8A" w:rsidRDefault="00F51328" w:rsidP="000C1CD9">
            <w:pPr>
              <w:autoSpaceDE w:val="0"/>
              <w:autoSpaceDN w:val="0"/>
              <w:adjustRightInd w:val="0"/>
              <w:spacing w:afterLines="20" w:after="48"/>
              <w:rPr>
                <w:rFonts w:ascii="Arial" w:hAnsi="Arial" w:cs="Arial"/>
                <w:sz w:val="18"/>
                <w:szCs w:val="18"/>
                <w:lang w:val="en-GB"/>
              </w:rPr>
            </w:pPr>
          </w:p>
          <w:p w14:paraId="27AD0151" w14:textId="45127EC5" w:rsidR="00F51328" w:rsidRPr="00634B8A" w:rsidRDefault="00F51328" w:rsidP="00B863CC">
            <w:pPr>
              <w:autoSpaceDE w:val="0"/>
              <w:autoSpaceDN w:val="0"/>
              <w:adjustRightInd w:val="0"/>
              <w:spacing w:afterLines="20" w:after="48"/>
              <w:rPr>
                <w:rFonts w:ascii="Arial" w:hAnsi="Arial" w:cs="Arial"/>
                <w:sz w:val="18"/>
                <w:szCs w:val="18"/>
                <w:lang w:val="en-GB"/>
              </w:rPr>
            </w:pPr>
            <w:r w:rsidRPr="00B863CC">
              <w:rPr>
                <w:rFonts w:ascii="Arial" w:hAnsi="Arial" w:cs="Arial"/>
                <w:b/>
                <w:sz w:val="18"/>
                <w:szCs w:val="18"/>
                <w:lang w:val="en-GB"/>
              </w:rPr>
              <w:t>Baseline:</w:t>
            </w:r>
            <w:r w:rsidRPr="00634B8A">
              <w:rPr>
                <w:rFonts w:ascii="Arial" w:hAnsi="Arial" w:cs="Arial"/>
                <w:sz w:val="18"/>
                <w:szCs w:val="18"/>
                <w:lang w:val="en-GB"/>
              </w:rPr>
              <w:t xml:space="preserve"> </w:t>
            </w:r>
            <w:r>
              <w:rPr>
                <w:rFonts w:ascii="Arial" w:hAnsi="Arial" w:cs="Arial"/>
                <w:sz w:val="18"/>
                <w:szCs w:val="18"/>
                <w:lang w:val="en-GB"/>
              </w:rPr>
              <w:t xml:space="preserve">Inefficient HFC fridges are sold in the country, </w:t>
            </w:r>
            <w:r w:rsidRPr="00634B8A">
              <w:rPr>
                <w:rFonts w:ascii="Arial" w:hAnsi="Arial" w:cs="Arial"/>
                <w:sz w:val="18"/>
                <w:szCs w:val="18"/>
                <w:lang w:val="en-GB"/>
              </w:rPr>
              <w:t xml:space="preserve">old CFC containing fridges scrapped at end of life without proper waste management </w:t>
            </w:r>
          </w:p>
        </w:tc>
      </w:tr>
      <w:tr w:rsidR="00F51328" w:rsidRPr="0054754D" w14:paraId="00940321" w14:textId="77777777" w:rsidTr="00D77FB3">
        <w:trPr>
          <w:trHeight w:val="2589"/>
        </w:trPr>
        <w:tc>
          <w:tcPr>
            <w:tcW w:w="6916" w:type="dxa"/>
            <w:tcBorders>
              <w:top w:val="single" w:sz="4" w:space="0" w:color="auto"/>
              <w:left w:val="single" w:sz="4" w:space="0" w:color="auto"/>
              <w:bottom w:val="single" w:sz="4" w:space="0" w:color="auto"/>
              <w:right w:val="single" w:sz="4" w:space="0" w:color="auto"/>
            </w:tcBorders>
          </w:tcPr>
          <w:p w14:paraId="2622C68D" w14:textId="3CC86CE0" w:rsidR="00F51328" w:rsidRPr="00634B8A" w:rsidRDefault="00F51328" w:rsidP="00BC2F0B">
            <w:pPr>
              <w:autoSpaceDE w:val="0"/>
              <w:autoSpaceDN w:val="0"/>
              <w:adjustRightInd w:val="0"/>
              <w:spacing w:beforeLines="20" w:before="48" w:afterLines="20" w:after="48"/>
              <w:rPr>
                <w:rFonts w:ascii="Arial" w:hAnsi="Arial" w:cs="Arial"/>
                <w:b/>
                <w:bCs/>
                <w:sz w:val="18"/>
                <w:szCs w:val="18"/>
                <w:lang w:val="en-GB"/>
              </w:rPr>
            </w:pPr>
            <w:r w:rsidRPr="0066745E">
              <w:rPr>
                <w:rFonts w:ascii="Arial" w:hAnsi="Arial" w:cs="Arial"/>
                <w:b/>
                <w:bCs/>
                <w:sz w:val="18"/>
                <w:szCs w:val="18"/>
                <w:lang w:val="en-GB"/>
              </w:rPr>
              <w:t xml:space="preserve">Output 1: </w:t>
            </w:r>
            <w:r w:rsidRPr="006A6F72">
              <w:rPr>
                <w:rFonts w:ascii="Arial" w:hAnsi="Arial" w:cs="Arial"/>
                <w:bCs/>
                <w:sz w:val="18"/>
                <w:szCs w:val="18"/>
                <w:lang w:val="en-GB"/>
              </w:rPr>
              <w:t>Policy framework for the transformation of the domestic refrigeration sector is established</w:t>
            </w:r>
          </w:p>
        </w:tc>
        <w:tc>
          <w:tcPr>
            <w:tcW w:w="6658" w:type="dxa"/>
            <w:tcBorders>
              <w:top w:val="single" w:sz="4" w:space="0" w:color="auto"/>
              <w:left w:val="single" w:sz="4" w:space="0" w:color="auto"/>
              <w:bottom w:val="single" w:sz="4" w:space="0" w:color="auto"/>
              <w:right w:val="single" w:sz="4" w:space="0" w:color="auto"/>
            </w:tcBorders>
          </w:tcPr>
          <w:p w14:paraId="1A0C5C95" w14:textId="11F813A1" w:rsidR="00F51328" w:rsidRPr="00634B8A" w:rsidRDefault="00F51328" w:rsidP="00DB4104">
            <w:pPr>
              <w:autoSpaceDE w:val="0"/>
              <w:autoSpaceDN w:val="0"/>
              <w:adjustRightInd w:val="0"/>
              <w:spacing w:afterLines="20" w:after="48"/>
              <w:rPr>
                <w:rFonts w:ascii="Arial" w:hAnsi="Arial" w:cs="Arial"/>
                <w:sz w:val="18"/>
                <w:szCs w:val="18"/>
                <w:lang w:val="en-GB"/>
              </w:rPr>
            </w:pPr>
            <w:r w:rsidRPr="00DB4104">
              <w:rPr>
                <w:rFonts w:ascii="Arial" w:hAnsi="Arial" w:cs="Arial"/>
                <w:b/>
                <w:sz w:val="18"/>
                <w:szCs w:val="18"/>
                <w:lang w:val="en-GB"/>
              </w:rPr>
              <w:t>Indicator:</w:t>
            </w:r>
            <w:r w:rsidRPr="00634B8A">
              <w:rPr>
                <w:rFonts w:ascii="Arial" w:hAnsi="Arial" w:cs="Arial"/>
                <w:sz w:val="18"/>
                <w:szCs w:val="18"/>
                <w:lang w:val="en-GB"/>
              </w:rPr>
              <w:t xml:space="preserve"> </w:t>
            </w:r>
            <w:r>
              <w:rPr>
                <w:rFonts w:ascii="Arial" w:hAnsi="Arial" w:cs="Arial"/>
                <w:sz w:val="18"/>
                <w:szCs w:val="18"/>
                <w:lang w:val="en-GB"/>
              </w:rPr>
              <w:t xml:space="preserve">Resolution and decree drafted (Q2/17); standards for green fridges established in Q2/17 as a basis for </w:t>
            </w:r>
            <w:r w:rsidRPr="001E7EEF">
              <w:rPr>
                <w:rFonts w:ascii="Arial" w:hAnsi="Arial" w:cs="Arial"/>
                <w:sz w:val="18"/>
                <w:szCs w:val="18"/>
                <w:lang w:val="en-GB"/>
              </w:rPr>
              <w:t>preferential loans to the manufacturers and consumer credits</w:t>
            </w:r>
            <w:r>
              <w:rPr>
                <w:rFonts w:ascii="Arial" w:hAnsi="Arial" w:cs="Arial"/>
                <w:sz w:val="18"/>
                <w:szCs w:val="18"/>
                <w:lang w:val="en-GB"/>
              </w:rPr>
              <w:t>.</w:t>
            </w:r>
          </w:p>
          <w:p w14:paraId="6E77E3FB" w14:textId="77777777" w:rsidR="00F51328" w:rsidRDefault="00F51328" w:rsidP="00DB4104">
            <w:pPr>
              <w:autoSpaceDE w:val="0"/>
              <w:autoSpaceDN w:val="0"/>
              <w:adjustRightInd w:val="0"/>
              <w:spacing w:afterLines="20" w:after="48"/>
              <w:rPr>
                <w:rFonts w:ascii="Arial" w:hAnsi="Arial" w:cs="Arial"/>
                <w:b/>
                <w:sz w:val="18"/>
                <w:szCs w:val="18"/>
                <w:lang w:val="en-GB"/>
              </w:rPr>
            </w:pPr>
          </w:p>
          <w:p w14:paraId="3769D430" w14:textId="5EE842AD" w:rsidR="00F51328" w:rsidRDefault="00F51328" w:rsidP="00DB4104">
            <w:pPr>
              <w:autoSpaceDE w:val="0"/>
              <w:autoSpaceDN w:val="0"/>
              <w:adjustRightInd w:val="0"/>
              <w:spacing w:afterLines="20" w:after="48"/>
              <w:rPr>
                <w:rFonts w:ascii="Arial" w:hAnsi="Arial" w:cs="Arial"/>
                <w:sz w:val="18"/>
                <w:szCs w:val="18"/>
                <w:lang w:val="en-GB"/>
              </w:rPr>
            </w:pPr>
            <w:r w:rsidRPr="00B863CC">
              <w:rPr>
                <w:rFonts w:ascii="Arial" w:hAnsi="Arial" w:cs="Arial"/>
                <w:b/>
                <w:sz w:val="18"/>
                <w:szCs w:val="18"/>
                <w:lang w:val="en-GB"/>
              </w:rPr>
              <w:t>Baseline:</w:t>
            </w:r>
            <w:r w:rsidRPr="00634B8A">
              <w:rPr>
                <w:rFonts w:ascii="Arial" w:hAnsi="Arial" w:cs="Arial"/>
                <w:sz w:val="18"/>
                <w:szCs w:val="18"/>
                <w:lang w:val="en-GB"/>
              </w:rPr>
              <w:t xml:space="preserve"> </w:t>
            </w:r>
            <w:r>
              <w:rPr>
                <w:rFonts w:ascii="Arial" w:hAnsi="Arial" w:cs="Arial"/>
                <w:sz w:val="18"/>
                <w:szCs w:val="18"/>
                <w:lang w:val="en-GB"/>
              </w:rPr>
              <w:t xml:space="preserve">No MEPS are established, allowing inefficient HFC fridges to be used in the country; Manufacturers and importers continue to place inefficient fridges (average energy consumption: 850 kWh/year); No ban for HFC-134a established, thus fridges with high GWP refrigerants are sold in the country; </w:t>
            </w:r>
            <w:r w:rsidRPr="00634B8A">
              <w:rPr>
                <w:rFonts w:ascii="Arial" w:hAnsi="Arial" w:cs="Arial"/>
                <w:sz w:val="18"/>
                <w:szCs w:val="18"/>
                <w:lang w:val="en-GB"/>
              </w:rPr>
              <w:t xml:space="preserve">old CFC containing fridges </w:t>
            </w:r>
            <w:r>
              <w:rPr>
                <w:rFonts w:ascii="Arial" w:hAnsi="Arial" w:cs="Arial"/>
                <w:sz w:val="18"/>
                <w:szCs w:val="18"/>
                <w:lang w:val="en-GB"/>
              </w:rPr>
              <w:t xml:space="preserve">are </w:t>
            </w:r>
            <w:r w:rsidRPr="00634B8A">
              <w:rPr>
                <w:rFonts w:ascii="Arial" w:hAnsi="Arial" w:cs="Arial"/>
                <w:sz w:val="18"/>
                <w:szCs w:val="18"/>
                <w:lang w:val="en-GB"/>
              </w:rPr>
              <w:t>scrapped at end of life without proper waste management</w:t>
            </w:r>
            <w:r>
              <w:rPr>
                <w:rFonts w:ascii="Arial" w:hAnsi="Arial" w:cs="Arial"/>
                <w:sz w:val="18"/>
                <w:szCs w:val="18"/>
                <w:lang w:val="en-GB"/>
              </w:rPr>
              <w:t>;</w:t>
            </w:r>
          </w:p>
          <w:p w14:paraId="1F27C373" w14:textId="71FE15CB" w:rsidR="00F51328" w:rsidRPr="00DB4104" w:rsidRDefault="00F51328" w:rsidP="00DB4104">
            <w:pPr>
              <w:autoSpaceDE w:val="0"/>
              <w:autoSpaceDN w:val="0"/>
              <w:adjustRightInd w:val="0"/>
              <w:spacing w:afterLines="20" w:after="48"/>
              <w:rPr>
                <w:lang w:val="en-GB"/>
              </w:rPr>
            </w:pPr>
            <w:r>
              <w:rPr>
                <w:rFonts w:ascii="Arial" w:hAnsi="Arial" w:cs="Arial"/>
                <w:sz w:val="18"/>
                <w:szCs w:val="18"/>
                <w:lang w:val="en-GB"/>
              </w:rPr>
              <w:t>no funding and financing to manufacturers based on MEPS and low GWP s</w:t>
            </w:r>
            <w:bookmarkStart w:id="0" w:name="_GoBack"/>
            <w:bookmarkEnd w:id="0"/>
            <w:r>
              <w:rPr>
                <w:rFonts w:ascii="Arial" w:hAnsi="Arial" w:cs="Arial"/>
                <w:sz w:val="18"/>
                <w:szCs w:val="18"/>
                <w:lang w:val="en-GB"/>
              </w:rPr>
              <w:t>tandards</w:t>
            </w:r>
          </w:p>
        </w:tc>
      </w:tr>
      <w:tr w:rsidR="00F51328" w:rsidRPr="0054754D" w14:paraId="25A71D42" w14:textId="77777777" w:rsidTr="00F51328">
        <w:trPr>
          <w:trHeight w:val="1037"/>
        </w:trPr>
        <w:tc>
          <w:tcPr>
            <w:tcW w:w="6916" w:type="dxa"/>
            <w:tcBorders>
              <w:top w:val="dotted" w:sz="4" w:space="0" w:color="BFBFBF" w:themeColor="background1" w:themeShade="BF"/>
              <w:left w:val="single" w:sz="4" w:space="0" w:color="auto"/>
              <w:bottom w:val="single" w:sz="4" w:space="0" w:color="auto"/>
              <w:right w:val="single" w:sz="4" w:space="0" w:color="auto"/>
            </w:tcBorders>
          </w:tcPr>
          <w:p w14:paraId="3BF8CD6D" w14:textId="5F43C625" w:rsidR="00F51328" w:rsidRPr="00A22FDC" w:rsidRDefault="00F51328" w:rsidP="00D213DB">
            <w:pPr>
              <w:autoSpaceDE w:val="0"/>
              <w:autoSpaceDN w:val="0"/>
              <w:adjustRightInd w:val="0"/>
              <w:spacing w:beforeLines="20" w:before="48" w:afterLines="20" w:after="48"/>
              <w:rPr>
                <w:rFonts w:ascii="Arial" w:hAnsi="Arial" w:cs="Arial"/>
                <w:b/>
                <w:sz w:val="18"/>
                <w:szCs w:val="18"/>
                <w:lang w:val="en-GB"/>
              </w:rPr>
            </w:pPr>
            <w:r w:rsidRPr="00A22FDC">
              <w:rPr>
                <w:rFonts w:ascii="Arial" w:hAnsi="Arial" w:cs="Arial"/>
                <w:b/>
                <w:bCs/>
                <w:sz w:val="18"/>
                <w:szCs w:val="18"/>
                <w:lang w:val="en-GB"/>
              </w:rPr>
              <w:t>Output 2</w:t>
            </w:r>
            <w:r w:rsidRPr="00A22FDC">
              <w:rPr>
                <w:rFonts w:ascii="Arial" w:hAnsi="Arial" w:cs="Arial"/>
                <w:bCs/>
                <w:sz w:val="18"/>
                <w:szCs w:val="18"/>
                <w:lang w:val="en-GB"/>
              </w:rPr>
              <w:t>: Producer are designing and producing climate friendly energy efficient refrigerators</w:t>
            </w:r>
            <w:r w:rsidRPr="00A22FDC">
              <w:rPr>
                <w:sz w:val="18"/>
                <w:szCs w:val="18"/>
                <w:lang w:val="en-GB"/>
              </w:rPr>
              <w:t xml:space="preserve"> </w:t>
            </w:r>
          </w:p>
        </w:tc>
        <w:tc>
          <w:tcPr>
            <w:tcW w:w="6658" w:type="dxa"/>
            <w:tcBorders>
              <w:top w:val="dotted" w:sz="4" w:space="0" w:color="BFBFBF" w:themeColor="background1" w:themeShade="BF"/>
              <w:left w:val="single" w:sz="4" w:space="0" w:color="auto"/>
              <w:bottom w:val="single" w:sz="4" w:space="0" w:color="auto"/>
              <w:right w:val="single" w:sz="4" w:space="0" w:color="auto"/>
            </w:tcBorders>
          </w:tcPr>
          <w:p w14:paraId="46155754" w14:textId="5CD5ACBF" w:rsidR="00F51328" w:rsidRPr="00634B8A" w:rsidRDefault="00F51328" w:rsidP="00D213DB">
            <w:pPr>
              <w:autoSpaceDE w:val="0"/>
              <w:autoSpaceDN w:val="0"/>
              <w:adjustRightInd w:val="0"/>
              <w:spacing w:afterLines="20" w:after="48"/>
              <w:rPr>
                <w:rFonts w:ascii="Arial" w:hAnsi="Arial" w:cs="Arial"/>
                <w:sz w:val="18"/>
                <w:szCs w:val="18"/>
                <w:lang w:val="en-GB"/>
              </w:rPr>
            </w:pPr>
            <w:r w:rsidRPr="00FF7F33">
              <w:rPr>
                <w:rFonts w:ascii="Arial" w:hAnsi="Arial" w:cs="Arial"/>
                <w:b/>
                <w:sz w:val="18"/>
                <w:szCs w:val="18"/>
                <w:lang w:val="en-GB"/>
              </w:rPr>
              <w:t>Indicator:</w:t>
            </w:r>
            <w:r w:rsidRPr="00634B8A">
              <w:rPr>
                <w:rFonts w:ascii="Arial" w:hAnsi="Arial" w:cs="Arial"/>
                <w:sz w:val="18"/>
                <w:szCs w:val="18"/>
                <w:lang w:val="en-GB"/>
              </w:rPr>
              <w:t xml:space="preserve"> </w:t>
            </w:r>
            <w:r>
              <w:rPr>
                <w:rFonts w:ascii="Arial" w:hAnsi="Arial" w:cs="Arial"/>
                <w:sz w:val="18"/>
                <w:szCs w:val="18"/>
                <w:lang w:val="en-GB"/>
              </w:rPr>
              <w:t>Number</w:t>
            </w:r>
            <w:r w:rsidRPr="00634B8A">
              <w:rPr>
                <w:rFonts w:ascii="Arial" w:hAnsi="Arial" w:cs="Arial"/>
                <w:sz w:val="18"/>
                <w:szCs w:val="18"/>
                <w:lang w:val="en-GB"/>
              </w:rPr>
              <w:t xml:space="preserve"> of production lines </w:t>
            </w:r>
            <w:r>
              <w:rPr>
                <w:rFonts w:ascii="Arial" w:hAnsi="Arial" w:cs="Arial"/>
                <w:sz w:val="18"/>
                <w:szCs w:val="18"/>
                <w:lang w:val="en-GB"/>
              </w:rPr>
              <w:t>converted (during 2017);</w:t>
            </w:r>
            <w:r w:rsidRPr="00634B8A">
              <w:rPr>
                <w:rFonts w:ascii="Arial" w:hAnsi="Arial" w:cs="Arial"/>
                <w:sz w:val="18"/>
                <w:szCs w:val="18"/>
                <w:lang w:val="en-GB"/>
              </w:rPr>
              <w:t xml:space="preserve"> </w:t>
            </w:r>
            <w:r>
              <w:rPr>
                <w:rFonts w:ascii="Arial" w:hAnsi="Arial" w:cs="Arial"/>
                <w:sz w:val="18"/>
                <w:szCs w:val="18"/>
                <w:lang w:val="en-GB"/>
              </w:rPr>
              <w:t>number</w:t>
            </w:r>
            <w:r w:rsidRPr="00634B8A">
              <w:rPr>
                <w:rFonts w:ascii="Arial" w:hAnsi="Arial" w:cs="Arial"/>
                <w:sz w:val="18"/>
                <w:szCs w:val="18"/>
                <w:lang w:val="en-GB"/>
              </w:rPr>
              <w:t xml:space="preserve"> produced </w:t>
            </w:r>
            <w:r>
              <w:rPr>
                <w:rFonts w:ascii="Arial" w:hAnsi="Arial" w:cs="Arial"/>
                <w:sz w:val="18"/>
                <w:szCs w:val="18"/>
                <w:lang w:val="en-GB"/>
              </w:rPr>
              <w:t xml:space="preserve">climate friendly </w:t>
            </w:r>
            <w:r w:rsidRPr="00634B8A">
              <w:rPr>
                <w:rFonts w:ascii="Arial" w:hAnsi="Arial" w:cs="Arial"/>
                <w:sz w:val="18"/>
                <w:szCs w:val="18"/>
                <w:lang w:val="en-GB"/>
              </w:rPr>
              <w:t>units</w:t>
            </w:r>
            <w:r>
              <w:rPr>
                <w:rFonts w:ascii="Arial" w:hAnsi="Arial" w:cs="Arial"/>
                <w:sz w:val="18"/>
                <w:szCs w:val="18"/>
                <w:lang w:val="en-GB"/>
              </w:rPr>
              <w:t xml:space="preserve">; </w:t>
            </w:r>
            <w:r w:rsidRPr="00634B8A">
              <w:rPr>
                <w:rFonts w:ascii="Arial" w:hAnsi="Arial" w:cs="Arial"/>
                <w:sz w:val="18"/>
                <w:szCs w:val="18"/>
                <w:lang w:val="en-GB"/>
              </w:rPr>
              <w:t xml:space="preserve">4.7 Mio green fridges (high efficiency and HFC-free) </w:t>
            </w:r>
            <w:r>
              <w:rPr>
                <w:rFonts w:ascii="Arial" w:hAnsi="Arial" w:cs="Arial"/>
                <w:sz w:val="18"/>
                <w:szCs w:val="18"/>
                <w:lang w:val="en-GB"/>
              </w:rPr>
              <w:t>are sold in the country with the NSP period between 2018 and 2021</w:t>
            </w:r>
            <w:r w:rsidRPr="00634B8A">
              <w:rPr>
                <w:rFonts w:ascii="Arial" w:hAnsi="Arial" w:cs="Arial"/>
                <w:sz w:val="18"/>
                <w:szCs w:val="18"/>
                <w:lang w:val="en-GB"/>
              </w:rPr>
              <w:t xml:space="preserve">) resulting </w:t>
            </w:r>
            <w:r w:rsidRPr="00716339">
              <w:rPr>
                <w:rFonts w:ascii="Arial" w:hAnsi="Arial" w:cs="Arial"/>
                <w:sz w:val="18"/>
                <w:szCs w:val="18"/>
                <w:lang w:val="en-GB"/>
              </w:rPr>
              <w:t>in 15.7 Mt CO2eq</w:t>
            </w:r>
            <w:r w:rsidRPr="00634B8A">
              <w:rPr>
                <w:rFonts w:ascii="Arial" w:hAnsi="Arial" w:cs="Arial"/>
                <w:sz w:val="18"/>
                <w:szCs w:val="18"/>
                <w:lang w:val="en-GB"/>
              </w:rPr>
              <w:t xml:space="preserve"> emission savings</w:t>
            </w:r>
            <w:r>
              <w:rPr>
                <w:rFonts w:ascii="Arial" w:hAnsi="Arial" w:cs="Arial"/>
                <w:sz w:val="18"/>
                <w:szCs w:val="18"/>
                <w:lang w:val="en-GB"/>
              </w:rPr>
              <w:t xml:space="preserve"> over the life time of the equipment.</w:t>
            </w:r>
          </w:p>
          <w:p w14:paraId="3BC3FBD8" w14:textId="77777777" w:rsidR="00F51328" w:rsidRPr="00634B8A" w:rsidRDefault="00F51328" w:rsidP="00D213DB">
            <w:pPr>
              <w:autoSpaceDE w:val="0"/>
              <w:autoSpaceDN w:val="0"/>
              <w:adjustRightInd w:val="0"/>
              <w:spacing w:afterLines="20" w:after="48"/>
              <w:rPr>
                <w:rFonts w:ascii="Arial" w:hAnsi="Arial" w:cs="Arial"/>
                <w:sz w:val="18"/>
                <w:szCs w:val="18"/>
                <w:lang w:val="en-GB"/>
              </w:rPr>
            </w:pPr>
          </w:p>
          <w:p w14:paraId="52ED9F5F" w14:textId="68A16E80" w:rsidR="00F51328" w:rsidRPr="00B16007" w:rsidRDefault="00F51328" w:rsidP="00D213DB">
            <w:pPr>
              <w:autoSpaceDE w:val="0"/>
              <w:autoSpaceDN w:val="0"/>
              <w:adjustRightInd w:val="0"/>
              <w:spacing w:afterLines="20" w:after="48"/>
              <w:rPr>
                <w:rFonts w:ascii="Arial" w:hAnsi="Arial" w:cs="Arial"/>
                <w:b/>
                <w:sz w:val="18"/>
                <w:szCs w:val="18"/>
                <w:lang w:val="en-GB"/>
              </w:rPr>
            </w:pPr>
            <w:r w:rsidRPr="00FF7F33">
              <w:rPr>
                <w:rFonts w:ascii="Arial" w:hAnsi="Arial" w:cs="Arial"/>
                <w:b/>
                <w:sz w:val="18"/>
                <w:szCs w:val="18"/>
                <w:lang w:val="en-GB"/>
              </w:rPr>
              <w:t>Baseline:</w:t>
            </w:r>
            <w:r w:rsidRPr="00634B8A">
              <w:rPr>
                <w:rFonts w:ascii="Arial" w:hAnsi="Arial" w:cs="Arial"/>
                <w:sz w:val="18"/>
                <w:szCs w:val="18"/>
                <w:lang w:val="en-GB"/>
              </w:rPr>
              <w:t xml:space="preserve"> Only one production line has been converted t</w:t>
            </w:r>
            <w:r>
              <w:rPr>
                <w:rFonts w:ascii="Arial" w:hAnsi="Arial" w:cs="Arial"/>
                <w:sz w:val="18"/>
                <w:szCs w:val="18"/>
                <w:lang w:val="en-GB"/>
              </w:rPr>
              <w:t xml:space="preserve">o R600a, with poor efficiency; </w:t>
            </w:r>
            <w:r w:rsidRPr="00634B8A">
              <w:rPr>
                <w:rFonts w:ascii="Arial" w:hAnsi="Arial" w:cs="Arial"/>
                <w:sz w:val="18"/>
                <w:szCs w:val="18"/>
                <w:lang w:val="en-GB"/>
              </w:rPr>
              <w:t xml:space="preserve">2 </w:t>
            </w:r>
            <w:r>
              <w:rPr>
                <w:rFonts w:ascii="Arial" w:hAnsi="Arial" w:cs="Arial"/>
                <w:sz w:val="18"/>
                <w:szCs w:val="18"/>
                <w:lang w:val="en-GB"/>
              </w:rPr>
              <w:t>remaining</w:t>
            </w:r>
            <w:r w:rsidRPr="00634B8A">
              <w:rPr>
                <w:rFonts w:ascii="Arial" w:hAnsi="Arial" w:cs="Arial"/>
                <w:sz w:val="18"/>
                <w:szCs w:val="18"/>
                <w:lang w:val="en-GB"/>
              </w:rPr>
              <w:t xml:space="preserve"> manufacturers to produce HFC-134a inefficient units</w:t>
            </w:r>
            <w:r>
              <w:rPr>
                <w:rFonts w:ascii="Arial" w:hAnsi="Arial" w:cs="Arial"/>
                <w:sz w:val="18"/>
                <w:szCs w:val="18"/>
                <w:lang w:val="en-GB"/>
              </w:rPr>
              <w:t xml:space="preserve"> not having the financial and technical resource to convert their production lines</w:t>
            </w:r>
          </w:p>
        </w:tc>
      </w:tr>
      <w:tr w:rsidR="00F51328" w:rsidRPr="0054754D" w14:paraId="5EB6C4DD" w14:textId="77777777" w:rsidTr="00483084">
        <w:trPr>
          <w:trHeight w:val="2306"/>
        </w:trPr>
        <w:tc>
          <w:tcPr>
            <w:tcW w:w="6916" w:type="dxa"/>
            <w:tcBorders>
              <w:top w:val="dotted" w:sz="4" w:space="0" w:color="BFBFBF" w:themeColor="background1" w:themeShade="BF"/>
              <w:left w:val="single" w:sz="4" w:space="0" w:color="auto"/>
              <w:bottom w:val="single" w:sz="4" w:space="0" w:color="auto"/>
              <w:right w:val="single" w:sz="4" w:space="0" w:color="auto"/>
            </w:tcBorders>
          </w:tcPr>
          <w:p w14:paraId="65BCDCA2" w14:textId="701D1589" w:rsidR="00F51328" w:rsidRPr="00A22FDC" w:rsidRDefault="00F51328" w:rsidP="00D213DB">
            <w:pPr>
              <w:autoSpaceDE w:val="0"/>
              <w:autoSpaceDN w:val="0"/>
              <w:adjustRightInd w:val="0"/>
              <w:spacing w:beforeLines="20" w:before="48" w:afterLines="20" w:after="48"/>
              <w:rPr>
                <w:rFonts w:ascii="Arial" w:hAnsi="Arial" w:cs="Arial"/>
                <w:b/>
                <w:sz w:val="18"/>
                <w:szCs w:val="18"/>
                <w:lang w:val="en-GB"/>
              </w:rPr>
            </w:pPr>
            <w:r w:rsidRPr="00A22FDC">
              <w:rPr>
                <w:rFonts w:ascii="Arial" w:hAnsi="Arial" w:cs="Arial"/>
                <w:b/>
                <w:sz w:val="18"/>
                <w:szCs w:val="18"/>
                <w:lang w:val="en-GB"/>
              </w:rPr>
              <w:t xml:space="preserve">Output 3: </w:t>
            </w:r>
            <w:r w:rsidRPr="00A22FDC">
              <w:rPr>
                <w:rFonts w:ascii="Arial" w:hAnsi="Arial" w:cs="Arial"/>
                <w:sz w:val="18"/>
                <w:szCs w:val="18"/>
                <w:lang w:val="en-GB"/>
              </w:rPr>
              <w:t>New for old replacement programme is established</w:t>
            </w:r>
          </w:p>
        </w:tc>
        <w:tc>
          <w:tcPr>
            <w:tcW w:w="6658" w:type="dxa"/>
            <w:tcBorders>
              <w:top w:val="dotted" w:sz="4" w:space="0" w:color="BFBFBF" w:themeColor="background1" w:themeShade="BF"/>
              <w:left w:val="single" w:sz="4" w:space="0" w:color="auto"/>
              <w:bottom w:val="single" w:sz="4" w:space="0" w:color="auto"/>
              <w:right w:val="single" w:sz="4" w:space="0" w:color="auto"/>
            </w:tcBorders>
          </w:tcPr>
          <w:p w14:paraId="26D00FF3" w14:textId="77777777" w:rsidR="00F51328" w:rsidRPr="00634B8A" w:rsidRDefault="00F51328" w:rsidP="00D213DB">
            <w:pPr>
              <w:autoSpaceDE w:val="0"/>
              <w:autoSpaceDN w:val="0"/>
              <w:adjustRightInd w:val="0"/>
              <w:spacing w:beforeLines="20" w:before="48" w:afterLines="20" w:after="48"/>
              <w:rPr>
                <w:rFonts w:ascii="Arial" w:hAnsi="Arial" w:cs="Arial"/>
                <w:sz w:val="18"/>
                <w:szCs w:val="18"/>
                <w:lang w:val="en-GB"/>
              </w:rPr>
            </w:pPr>
            <w:r w:rsidRPr="00FF7F33">
              <w:rPr>
                <w:rFonts w:ascii="Arial" w:hAnsi="Arial" w:cs="Arial"/>
                <w:b/>
                <w:sz w:val="18"/>
                <w:szCs w:val="18"/>
                <w:lang w:val="en-GB"/>
              </w:rPr>
              <w:t>Indicator:</w:t>
            </w:r>
            <w:r w:rsidRPr="00634B8A">
              <w:rPr>
                <w:rFonts w:ascii="Arial" w:hAnsi="Arial" w:cs="Arial"/>
                <w:sz w:val="18"/>
                <w:szCs w:val="18"/>
                <w:lang w:val="en-GB"/>
              </w:rPr>
              <w:t xml:space="preserve"> N</w:t>
            </w:r>
            <w:r>
              <w:rPr>
                <w:rFonts w:ascii="Arial" w:hAnsi="Arial" w:cs="Arial"/>
                <w:sz w:val="18"/>
                <w:szCs w:val="18"/>
                <w:lang w:val="en-GB"/>
              </w:rPr>
              <w:t>umber</w:t>
            </w:r>
            <w:r w:rsidRPr="00634B8A">
              <w:rPr>
                <w:rFonts w:ascii="Arial" w:hAnsi="Arial" w:cs="Arial"/>
                <w:sz w:val="18"/>
                <w:szCs w:val="18"/>
                <w:lang w:val="en-GB"/>
              </w:rPr>
              <w:t xml:space="preserve"> of new fridges handed o</w:t>
            </w:r>
            <w:r>
              <w:rPr>
                <w:rFonts w:ascii="Arial" w:hAnsi="Arial" w:cs="Arial"/>
                <w:sz w:val="18"/>
                <w:szCs w:val="18"/>
                <w:lang w:val="en-GB"/>
              </w:rPr>
              <w:t xml:space="preserve">ut against return of old fridge: </w:t>
            </w:r>
            <w:r w:rsidRPr="00FF7F33">
              <w:rPr>
                <w:rFonts w:ascii="Arial" w:hAnsi="Arial" w:cs="Arial"/>
                <w:sz w:val="18"/>
                <w:szCs w:val="18"/>
                <w:lang w:val="en-GB"/>
              </w:rPr>
              <w:t>Starting from 2018 to 2021, 300,000 green refrigerators</w:t>
            </w:r>
            <w:r>
              <w:rPr>
                <w:rFonts w:ascii="Arial" w:hAnsi="Arial" w:cs="Arial"/>
                <w:sz w:val="18"/>
                <w:szCs w:val="18"/>
                <w:lang w:val="en-GB"/>
              </w:rPr>
              <w:t xml:space="preserve"> are handed out to low-income households (2018 and 2019: 50,000 each year, 2020 and 2021 100,000 each year); p</w:t>
            </w:r>
            <w:r w:rsidRPr="00634B8A">
              <w:rPr>
                <w:rFonts w:ascii="Arial" w:hAnsi="Arial" w:cs="Arial"/>
                <w:sz w:val="18"/>
                <w:szCs w:val="18"/>
                <w:lang w:val="en-GB"/>
              </w:rPr>
              <w:t xml:space="preserve">roper recycling of 300,000 old fridges </w:t>
            </w:r>
            <w:r>
              <w:rPr>
                <w:rFonts w:ascii="Arial" w:hAnsi="Arial" w:cs="Arial"/>
                <w:sz w:val="18"/>
                <w:szCs w:val="18"/>
                <w:lang w:val="en-GB"/>
              </w:rPr>
              <w:t xml:space="preserve">within the NSP </w:t>
            </w:r>
            <w:r w:rsidRPr="00634B8A">
              <w:rPr>
                <w:rFonts w:ascii="Arial" w:hAnsi="Arial" w:cs="Arial"/>
                <w:sz w:val="18"/>
                <w:szCs w:val="18"/>
                <w:lang w:val="en-GB"/>
              </w:rPr>
              <w:t>to result in 1.1 Mt CO2eq emission savings</w:t>
            </w:r>
          </w:p>
          <w:p w14:paraId="17009567" w14:textId="77777777" w:rsidR="00F51328" w:rsidRDefault="00F51328" w:rsidP="00D213DB">
            <w:pPr>
              <w:autoSpaceDE w:val="0"/>
              <w:autoSpaceDN w:val="0"/>
              <w:adjustRightInd w:val="0"/>
              <w:spacing w:afterLines="20" w:after="48"/>
              <w:rPr>
                <w:rFonts w:ascii="Arial" w:hAnsi="Arial" w:cs="Arial"/>
                <w:sz w:val="18"/>
                <w:szCs w:val="18"/>
                <w:lang w:val="en-GB"/>
              </w:rPr>
            </w:pPr>
          </w:p>
          <w:p w14:paraId="0C7045C5" w14:textId="77777777" w:rsidR="00F51328" w:rsidRPr="00634B8A" w:rsidRDefault="00F51328" w:rsidP="00D213DB">
            <w:pPr>
              <w:autoSpaceDE w:val="0"/>
              <w:autoSpaceDN w:val="0"/>
              <w:adjustRightInd w:val="0"/>
              <w:spacing w:afterLines="20" w:after="48"/>
              <w:rPr>
                <w:rFonts w:ascii="Arial" w:hAnsi="Arial" w:cs="Arial"/>
                <w:sz w:val="18"/>
                <w:szCs w:val="18"/>
                <w:lang w:val="en-GB"/>
              </w:rPr>
            </w:pPr>
            <w:r w:rsidRPr="00634B8A">
              <w:rPr>
                <w:rFonts w:ascii="Arial" w:hAnsi="Arial" w:cs="Arial"/>
                <w:sz w:val="18"/>
                <w:szCs w:val="18"/>
                <w:lang w:val="en-GB"/>
              </w:rPr>
              <w:t xml:space="preserve">Baseline: </w:t>
            </w:r>
            <w:r>
              <w:rPr>
                <w:rFonts w:ascii="Arial" w:hAnsi="Arial" w:cs="Arial"/>
                <w:sz w:val="18"/>
                <w:szCs w:val="18"/>
                <w:lang w:val="en-GB"/>
              </w:rPr>
              <w:t>L</w:t>
            </w:r>
            <w:r w:rsidRPr="00634B8A">
              <w:rPr>
                <w:rFonts w:ascii="Arial" w:hAnsi="Arial" w:cs="Arial"/>
                <w:sz w:val="18"/>
                <w:szCs w:val="18"/>
                <w:lang w:val="en-GB"/>
              </w:rPr>
              <w:t>ow-income households</w:t>
            </w:r>
            <w:r>
              <w:rPr>
                <w:rFonts w:ascii="Arial" w:hAnsi="Arial" w:cs="Arial"/>
                <w:sz w:val="18"/>
                <w:szCs w:val="18"/>
                <w:lang w:val="en-GB"/>
              </w:rPr>
              <w:t xml:space="preserve"> cannot afford green climate friendly fridges, old fridges are scrapped after end-of-life without recycling: CFC emitting in atmosphere from scrapped equipment will cause </w:t>
            </w:r>
            <w:r w:rsidRPr="00634B8A">
              <w:rPr>
                <w:rFonts w:ascii="Arial" w:hAnsi="Arial" w:cs="Arial"/>
                <w:sz w:val="18"/>
                <w:szCs w:val="18"/>
                <w:lang w:val="en-GB"/>
              </w:rPr>
              <w:t>1.1 Mt CO2eq emission</w:t>
            </w:r>
            <w:r>
              <w:rPr>
                <w:rFonts w:ascii="Arial" w:hAnsi="Arial" w:cs="Arial"/>
                <w:sz w:val="18"/>
                <w:szCs w:val="18"/>
                <w:lang w:val="en-GB"/>
              </w:rPr>
              <w:t>.</w:t>
            </w:r>
          </w:p>
          <w:p w14:paraId="196930CF" w14:textId="77777777" w:rsidR="00F51328" w:rsidRPr="00B16007" w:rsidRDefault="00F51328" w:rsidP="00D213DB">
            <w:pPr>
              <w:autoSpaceDE w:val="0"/>
              <w:autoSpaceDN w:val="0"/>
              <w:adjustRightInd w:val="0"/>
              <w:spacing w:afterLines="20" w:after="48"/>
              <w:rPr>
                <w:rFonts w:ascii="Arial" w:hAnsi="Arial" w:cs="Arial"/>
                <w:b/>
                <w:sz w:val="18"/>
                <w:szCs w:val="18"/>
                <w:lang w:val="en-GB"/>
              </w:rPr>
            </w:pPr>
          </w:p>
        </w:tc>
      </w:tr>
      <w:tr w:rsidR="00F51328" w:rsidRPr="0054754D" w14:paraId="2C8C9DB3" w14:textId="77777777" w:rsidTr="00F51328">
        <w:trPr>
          <w:trHeight w:val="1915"/>
        </w:trPr>
        <w:tc>
          <w:tcPr>
            <w:tcW w:w="6916" w:type="dxa"/>
            <w:tcBorders>
              <w:top w:val="dotted" w:sz="4" w:space="0" w:color="BFBFBF" w:themeColor="background1" w:themeShade="BF"/>
              <w:left w:val="single" w:sz="4" w:space="0" w:color="auto"/>
              <w:bottom w:val="single" w:sz="4" w:space="0" w:color="auto"/>
              <w:right w:val="single" w:sz="4" w:space="0" w:color="auto"/>
            </w:tcBorders>
          </w:tcPr>
          <w:p w14:paraId="41F5853D" w14:textId="001AEA9F" w:rsidR="00F51328" w:rsidRPr="00A22FDC" w:rsidRDefault="00F51328" w:rsidP="00D213DB">
            <w:pPr>
              <w:autoSpaceDE w:val="0"/>
              <w:autoSpaceDN w:val="0"/>
              <w:adjustRightInd w:val="0"/>
              <w:spacing w:beforeLines="20" w:before="48" w:afterLines="20" w:after="48"/>
              <w:rPr>
                <w:rFonts w:ascii="Arial" w:hAnsi="Arial" w:cs="Arial"/>
                <w:b/>
                <w:sz w:val="18"/>
                <w:szCs w:val="18"/>
                <w:lang w:val="en-GB"/>
              </w:rPr>
            </w:pPr>
            <w:r w:rsidRPr="00A22FDC">
              <w:rPr>
                <w:rFonts w:ascii="Arial" w:hAnsi="Arial" w:cs="Arial"/>
                <w:b/>
                <w:sz w:val="18"/>
                <w:szCs w:val="18"/>
                <w:lang w:val="en-GB"/>
              </w:rPr>
              <w:t xml:space="preserve">Output 4: </w:t>
            </w:r>
            <w:r w:rsidRPr="00A22FDC">
              <w:rPr>
                <w:rFonts w:ascii="Arial" w:hAnsi="Arial" w:cs="Arial"/>
                <w:sz w:val="18"/>
                <w:szCs w:val="18"/>
                <w:lang w:val="en-GB"/>
              </w:rPr>
              <w:t>Old fridges are returned and processed in a recycling scheme</w:t>
            </w:r>
            <w:r w:rsidRPr="00A22FDC">
              <w:rPr>
                <w:rFonts w:ascii="Arial" w:hAnsi="Arial" w:cs="Arial"/>
                <w:b/>
                <w:sz w:val="18"/>
                <w:szCs w:val="18"/>
                <w:lang w:val="en-GB"/>
              </w:rPr>
              <w:t xml:space="preserve"> </w:t>
            </w:r>
          </w:p>
        </w:tc>
        <w:tc>
          <w:tcPr>
            <w:tcW w:w="6658" w:type="dxa"/>
            <w:tcBorders>
              <w:top w:val="dotted" w:sz="4" w:space="0" w:color="BFBFBF" w:themeColor="background1" w:themeShade="BF"/>
              <w:left w:val="single" w:sz="4" w:space="0" w:color="auto"/>
              <w:bottom w:val="single" w:sz="4" w:space="0" w:color="auto"/>
              <w:right w:val="single" w:sz="4" w:space="0" w:color="auto"/>
            </w:tcBorders>
          </w:tcPr>
          <w:p w14:paraId="23A78113" w14:textId="77777777" w:rsidR="00F51328" w:rsidRPr="00634B8A" w:rsidRDefault="00F51328" w:rsidP="00D213DB">
            <w:pPr>
              <w:autoSpaceDE w:val="0"/>
              <w:autoSpaceDN w:val="0"/>
              <w:adjustRightInd w:val="0"/>
              <w:spacing w:afterLines="20" w:after="48"/>
              <w:rPr>
                <w:rFonts w:ascii="Arial" w:hAnsi="Arial" w:cs="Arial"/>
                <w:sz w:val="18"/>
                <w:szCs w:val="18"/>
                <w:lang w:val="en-GB"/>
              </w:rPr>
            </w:pPr>
            <w:r w:rsidRPr="00B16007">
              <w:rPr>
                <w:rFonts w:ascii="Arial" w:hAnsi="Arial" w:cs="Arial"/>
                <w:b/>
                <w:sz w:val="18"/>
                <w:szCs w:val="18"/>
                <w:lang w:val="en-GB"/>
              </w:rPr>
              <w:t>Indicator:</w:t>
            </w:r>
            <w:r w:rsidRPr="00634B8A">
              <w:rPr>
                <w:rFonts w:ascii="Arial" w:hAnsi="Arial" w:cs="Arial"/>
                <w:sz w:val="18"/>
                <w:szCs w:val="18"/>
                <w:lang w:val="en-GB"/>
              </w:rPr>
              <w:t xml:space="preserve"> </w:t>
            </w:r>
            <w:r>
              <w:rPr>
                <w:rFonts w:ascii="Arial" w:hAnsi="Arial" w:cs="Arial"/>
                <w:sz w:val="18"/>
                <w:szCs w:val="18"/>
                <w:lang w:val="en-GB"/>
              </w:rPr>
              <w:t xml:space="preserve">Number of recycled old fridges; </w:t>
            </w:r>
            <w:r w:rsidRPr="00FF7F33">
              <w:rPr>
                <w:rFonts w:ascii="Arial" w:hAnsi="Arial" w:cs="Arial"/>
                <w:sz w:val="18"/>
                <w:szCs w:val="18"/>
                <w:lang w:val="en-GB"/>
              </w:rPr>
              <w:t>300,000 green refrigerators</w:t>
            </w:r>
            <w:r>
              <w:rPr>
                <w:rFonts w:ascii="Arial" w:hAnsi="Arial" w:cs="Arial"/>
                <w:sz w:val="18"/>
                <w:szCs w:val="18"/>
                <w:lang w:val="en-GB"/>
              </w:rPr>
              <w:t xml:space="preserve"> are recycled within the NSP (from 2019: 100,000 each year); number</w:t>
            </w:r>
            <w:r w:rsidRPr="00634B8A">
              <w:rPr>
                <w:rFonts w:ascii="Arial" w:hAnsi="Arial" w:cs="Arial"/>
                <w:sz w:val="18"/>
                <w:szCs w:val="18"/>
                <w:lang w:val="en-GB"/>
              </w:rPr>
              <w:t xml:space="preserve"> of contracted environmental managers (for dismantling old fridges</w:t>
            </w:r>
            <w:r>
              <w:rPr>
                <w:rFonts w:ascii="Arial" w:hAnsi="Arial" w:cs="Arial"/>
                <w:sz w:val="18"/>
                <w:szCs w:val="18"/>
                <w:lang w:val="en-GB"/>
              </w:rPr>
              <w:t>; at least 5 waste manager will be contracted by Red Verde, Q4/18</w:t>
            </w:r>
            <w:r w:rsidRPr="00634B8A">
              <w:rPr>
                <w:rFonts w:ascii="Arial" w:hAnsi="Arial" w:cs="Arial"/>
                <w:sz w:val="18"/>
                <w:szCs w:val="18"/>
                <w:lang w:val="en-GB"/>
              </w:rPr>
              <w:t>)</w:t>
            </w:r>
            <w:r>
              <w:rPr>
                <w:rFonts w:ascii="Arial" w:hAnsi="Arial" w:cs="Arial"/>
                <w:sz w:val="18"/>
                <w:szCs w:val="18"/>
                <w:lang w:val="en-GB"/>
              </w:rPr>
              <w:t xml:space="preserve">; </w:t>
            </w:r>
            <w:r w:rsidRPr="00634B8A">
              <w:rPr>
                <w:rFonts w:ascii="Arial" w:hAnsi="Arial" w:cs="Arial"/>
                <w:sz w:val="18"/>
                <w:szCs w:val="18"/>
                <w:lang w:val="en-GB"/>
              </w:rPr>
              <w:t>Processing 300,000 refrigerators within the project period, resulting in 1.1 Mt CO2eq emission savings</w:t>
            </w:r>
            <w:r>
              <w:rPr>
                <w:rFonts w:ascii="Arial" w:hAnsi="Arial" w:cs="Arial"/>
                <w:sz w:val="18"/>
                <w:szCs w:val="18"/>
                <w:lang w:val="en-GB"/>
              </w:rPr>
              <w:t>.</w:t>
            </w:r>
          </w:p>
          <w:p w14:paraId="6C0F68ED" w14:textId="77777777" w:rsidR="00F51328" w:rsidRPr="00634B8A" w:rsidRDefault="00F51328" w:rsidP="00D213DB">
            <w:pPr>
              <w:autoSpaceDE w:val="0"/>
              <w:autoSpaceDN w:val="0"/>
              <w:adjustRightInd w:val="0"/>
              <w:spacing w:afterLines="20" w:after="48"/>
              <w:rPr>
                <w:rFonts w:ascii="Arial" w:hAnsi="Arial" w:cs="Arial"/>
                <w:sz w:val="18"/>
                <w:szCs w:val="18"/>
                <w:lang w:val="en-GB"/>
              </w:rPr>
            </w:pPr>
          </w:p>
          <w:p w14:paraId="030554EC" w14:textId="26394F13" w:rsidR="00F51328" w:rsidRPr="00B16007" w:rsidRDefault="00F51328" w:rsidP="00D213DB">
            <w:pPr>
              <w:autoSpaceDE w:val="0"/>
              <w:autoSpaceDN w:val="0"/>
              <w:adjustRightInd w:val="0"/>
              <w:spacing w:afterLines="20" w:after="48"/>
              <w:rPr>
                <w:rFonts w:ascii="Arial" w:hAnsi="Arial" w:cs="Arial"/>
                <w:b/>
                <w:sz w:val="18"/>
                <w:szCs w:val="18"/>
                <w:lang w:val="en-GB"/>
              </w:rPr>
            </w:pPr>
            <w:r w:rsidRPr="00580255">
              <w:rPr>
                <w:rFonts w:ascii="Arial" w:hAnsi="Arial" w:cs="Arial"/>
                <w:b/>
                <w:sz w:val="18"/>
                <w:szCs w:val="18"/>
                <w:lang w:val="en-GB"/>
              </w:rPr>
              <w:t>Baseline:</w:t>
            </w:r>
            <w:r w:rsidRPr="00634B8A">
              <w:rPr>
                <w:rFonts w:ascii="Arial" w:hAnsi="Arial" w:cs="Arial"/>
                <w:sz w:val="18"/>
                <w:szCs w:val="18"/>
                <w:lang w:val="en-GB"/>
              </w:rPr>
              <w:t xml:space="preserve"> &lt; 100 fridges have been processed within the first half year of RED VERDE operation; there is only one waste</w:t>
            </w:r>
            <w:r>
              <w:rPr>
                <w:rFonts w:ascii="Arial" w:hAnsi="Arial" w:cs="Arial"/>
                <w:sz w:val="18"/>
                <w:szCs w:val="18"/>
                <w:lang w:val="en-GB"/>
              </w:rPr>
              <w:t xml:space="preserve"> manager processing old fridges</w:t>
            </w:r>
          </w:p>
        </w:tc>
      </w:tr>
      <w:tr w:rsidR="00F51328" w:rsidRPr="0054754D" w14:paraId="0DE47DCA" w14:textId="77777777" w:rsidTr="00483084">
        <w:trPr>
          <w:trHeight w:val="2589"/>
        </w:trPr>
        <w:tc>
          <w:tcPr>
            <w:tcW w:w="6916" w:type="dxa"/>
            <w:tcBorders>
              <w:top w:val="dotted" w:sz="4" w:space="0" w:color="BFBFBF" w:themeColor="background1" w:themeShade="BF"/>
              <w:left w:val="single" w:sz="4" w:space="0" w:color="auto"/>
              <w:bottom w:val="single" w:sz="4" w:space="0" w:color="auto"/>
              <w:right w:val="single" w:sz="4" w:space="0" w:color="auto"/>
            </w:tcBorders>
          </w:tcPr>
          <w:p w14:paraId="6FAECC6D" w14:textId="77777777" w:rsidR="00F51328" w:rsidRPr="00A22FDC" w:rsidRDefault="00F51328" w:rsidP="00D213DB">
            <w:pPr>
              <w:pStyle w:val="BodyText"/>
              <w:spacing w:after="60"/>
              <w:rPr>
                <w:rFonts w:cs="Arial"/>
                <w:i w:val="0"/>
                <w:sz w:val="18"/>
                <w:szCs w:val="18"/>
                <w:lang w:val="en-GB"/>
              </w:rPr>
            </w:pPr>
            <w:r w:rsidRPr="00A22FDC">
              <w:rPr>
                <w:rFonts w:cs="Arial"/>
                <w:b/>
                <w:i w:val="0"/>
                <w:sz w:val="18"/>
                <w:szCs w:val="18"/>
                <w:lang w:val="en-GB"/>
              </w:rPr>
              <w:t xml:space="preserve">Output 5: </w:t>
            </w:r>
            <w:r w:rsidRPr="00A22FDC">
              <w:rPr>
                <w:rFonts w:cs="Arial"/>
                <w:i w:val="0"/>
                <w:sz w:val="18"/>
                <w:szCs w:val="18"/>
                <w:lang w:val="en-GB"/>
              </w:rPr>
              <w:t xml:space="preserve">Cross sectoral capacity building  </w:t>
            </w:r>
          </w:p>
          <w:p w14:paraId="37F81FBB" w14:textId="77777777" w:rsidR="00F51328" w:rsidRPr="00A22FDC" w:rsidRDefault="00F51328" w:rsidP="00D213DB">
            <w:pPr>
              <w:autoSpaceDE w:val="0"/>
              <w:autoSpaceDN w:val="0"/>
              <w:adjustRightInd w:val="0"/>
              <w:spacing w:beforeLines="20" w:before="48" w:afterLines="20" w:after="48"/>
              <w:rPr>
                <w:rFonts w:ascii="Arial" w:hAnsi="Arial" w:cs="Arial"/>
                <w:i/>
                <w:noProof/>
                <w:sz w:val="18"/>
                <w:szCs w:val="18"/>
                <w:lang w:val="en-GB"/>
              </w:rPr>
            </w:pPr>
          </w:p>
        </w:tc>
        <w:tc>
          <w:tcPr>
            <w:tcW w:w="6658" w:type="dxa"/>
            <w:tcBorders>
              <w:top w:val="dotted" w:sz="4" w:space="0" w:color="BFBFBF" w:themeColor="background1" w:themeShade="BF"/>
              <w:left w:val="single" w:sz="4" w:space="0" w:color="auto"/>
              <w:bottom w:val="single" w:sz="4" w:space="0" w:color="auto"/>
              <w:right w:val="single" w:sz="4" w:space="0" w:color="auto"/>
            </w:tcBorders>
          </w:tcPr>
          <w:p w14:paraId="11E55D8C" w14:textId="28AFE5BD" w:rsidR="00F51328" w:rsidRPr="00634B8A" w:rsidRDefault="00F51328" w:rsidP="00D213DB">
            <w:pPr>
              <w:autoSpaceDE w:val="0"/>
              <w:autoSpaceDN w:val="0"/>
              <w:adjustRightInd w:val="0"/>
              <w:spacing w:beforeLines="20" w:before="48" w:afterLines="20" w:after="48"/>
              <w:rPr>
                <w:rFonts w:ascii="Arial" w:hAnsi="Arial" w:cs="Arial"/>
                <w:sz w:val="18"/>
                <w:szCs w:val="18"/>
                <w:lang w:val="en-GB"/>
              </w:rPr>
            </w:pPr>
            <w:r w:rsidRPr="00580255">
              <w:rPr>
                <w:rFonts w:ascii="Arial" w:hAnsi="Arial" w:cs="Arial"/>
                <w:b/>
                <w:sz w:val="18"/>
                <w:szCs w:val="18"/>
                <w:lang w:val="en-GB"/>
              </w:rPr>
              <w:t>Indicator:</w:t>
            </w:r>
            <w:r w:rsidRPr="00634B8A">
              <w:rPr>
                <w:rFonts w:ascii="Arial" w:hAnsi="Arial" w:cs="Arial"/>
                <w:sz w:val="18"/>
                <w:szCs w:val="18"/>
                <w:lang w:val="en-GB"/>
              </w:rPr>
              <w:t xml:space="preserve"> </w:t>
            </w:r>
            <w:r>
              <w:rPr>
                <w:rFonts w:ascii="Arial" w:hAnsi="Arial" w:cs="Arial"/>
                <w:sz w:val="18"/>
                <w:szCs w:val="18"/>
                <w:lang w:val="en-GB"/>
              </w:rPr>
              <w:t>Number</w:t>
            </w:r>
            <w:r w:rsidRPr="00634B8A">
              <w:rPr>
                <w:rFonts w:ascii="Arial" w:hAnsi="Arial" w:cs="Arial"/>
                <w:sz w:val="18"/>
                <w:szCs w:val="18"/>
                <w:lang w:val="en-GB"/>
              </w:rPr>
              <w:t xml:space="preserve"> of publications, guidelines, workshops, technician trainings, awareness raising campai</w:t>
            </w:r>
            <w:r>
              <w:rPr>
                <w:rFonts w:ascii="Arial" w:hAnsi="Arial" w:cs="Arial"/>
                <w:sz w:val="18"/>
                <w:szCs w:val="18"/>
                <w:lang w:val="en-GB"/>
              </w:rPr>
              <w:t>gn</w:t>
            </w:r>
            <w:r w:rsidRPr="00634B8A">
              <w:rPr>
                <w:rFonts w:ascii="Arial" w:hAnsi="Arial" w:cs="Arial"/>
                <w:sz w:val="18"/>
                <w:szCs w:val="18"/>
                <w:lang w:val="en-GB"/>
              </w:rPr>
              <w:t>s</w:t>
            </w:r>
            <w:r>
              <w:rPr>
                <w:rFonts w:ascii="Arial" w:hAnsi="Arial" w:cs="Arial"/>
                <w:sz w:val="18"/>
                <w:szCs w:val="18"/>
                <w:lang w:val="en-GB"/>
              </w:rPr>
              <w:t xml:space="preserve">; operational </w:t>
            </w:r>
            <w:r w:rsidRPr="00B16007">
              <w:rPr>
                <w:rFonts w:ascii="Arial" w:hAnsi="Arial" w:cs="Arial"/>
                <w:sz w:val="18"/>
                <w:szCs w:val="18"/>
                <w:lang w:val="en-GB"/>
              </w:rPr>
              <w:t>RED VERDE monitoring system</w:t>
            </w:r>
            <w:r>
              <w:rPr>
                <w:rFonts w:ascii="Arial" w:hAnsi="Arial" w:cs="Arial"/>
                <w:sz w:val="18"/>
                <w:szCs w:val="18"/>
                <w:lang w:val="en-GB"/>
              </w:rPr>
              <w:t xml:space="preserve"> used for MRV; m</w:t>
            </w:r>
            <w:r w:rsidRPr="00580255">
              <w:rPr>
                <w:rFonts w:ascii="Arial" w:hAnsi="Arial" w:cs="Arial"/>
                <w:sz w:val="18"/>
                <w:szCs w:val="18"/>
                <w:lang w:val="en-GB"/>
              </w:rPr>
              <w:t>ore than 2</w:t>
            </w:r>
            <w:r>
              <w:rPr>
                <w:rFonts w:ascii="Arial" w:hAnsi="Arial" w:cs="Arial"/>
                <w:sz w:val="18"/>
                <w:szCs w:val="18"/>
                <w:lang w:val="en-GB"/>
              </w:rPr>
              <w:t>,</w:t>
            </w:r>
            <w:r w:rsidRPr="00580255">
              <w:rPr>
                <w:rFonts w:ascii="Arial" w:hAnsi="Arial" w:cs="Arial"/>
                <w:sz w:val="18"/>
                <w:szCs w:val="18"/>
                <w:lang w:val="en-GB"/>
              </w:rPr>
              <w:t xml:space="preserve">000 technicians are trained </w:t>
            </w:r>
            <w:r>
              <w:rPr>
                <w:rFonts w:ascii="Arial" w:hAnsi="Arial" w:cs="Arial"/>
                <w:sz w:val="18"/>
                <w:szCs w:val="18"/>
                <w:lang w:val="en-GB"/>
              </w:rPr>
              <w:t xml:space="preserve">on green refrigeration standards, and more </w:t>
            </w:r>
            <w:r w:rsidRPr="00580255">
              <w:rPr>
                <w:rFonts w:ascii="Arial" w:hAnsi="Arial" w:cs="Arial"/>
                <w:sz w:val="18"/>
                <w:szCs w:val="18"/>
                <w:lang w:val="en-GB"/>
              </w:rPr>
              <w:t>than 1</w:t>
            </w:r>
            <w:r>
              <w:rPr>
                <w:rFonts w:ascii="Arial" w:hAnsi="Arial" w:cs="Arial"/>
                <w:sz w:val="18"/>
                <w:szCs w:val="18"/>
                <w:lang w:val="en-GB"/>
              </w:rPr>
              <w:t>,</w:t>
            </w:r>
            <w:r w:rsidRPr="00580255">
              <w:rPr>
                <w:rFonts w:ascii="Arial" w:hAnsi="Arial" w:cs="Arial"/>
                <w:sz w:val="18"/>
                <w:szCs w:val="18"/>
                <w:lang w:val="en-GB"/>
              </w:rPr>
              <w:t>0</w:t>
            </w:r>
            <w:r>
              <w:rPr>
                <w:rFonts w:ascii="Arial" w:hAnsi="Arial" w:cs="Arial"/>
                <w:sz w:val="18"/>
                <w:szCs w:val="18"/>
                <w:lang w:val="en-GB"/>
              </w:rPr>
              <w:t>0</w:t>
            </w:r>
            <w:r w:rsidRPr="00580255">
              <w:rPr>
                <w:rFonts w:ascii="Arial" w:hAnsi="Arial" w:cs="Arial"/>
                <w:sz w:val="18"/>
                <w:szCs w:val="18"/>
                <w:lang w:val="en-GB"/>
              </w:rPr>
              <w:t xml:space="preserve">0 technicians </w:t>
            </w:r>
            <w:r>
              <w:rPr>
                <w:rFonts w:ascii="Arial" w:hAnsi="Arial" w:cs="Arial"/>
                <w:sz w:val="18"/>
                <w:szCs w:val="18"/>
                <w:lang w:val="en-GB"/>
              </w:rPr>
              <w:t xml:space="preserve">receive </w:t>
            </w:r>
            <w:r w:rsidRPr="00580255">
              <w:rPr>
                <w:rFonts w:ascii="Arial" w:hAnsi="Arial" w:cs="Arial"/>
                <w:sz w:val="18"/>
                <w:szCs w:val="18"/>
                <w:lang w:val="en-GB"/>
              </w:rPr>
              <w:t>certificates</w:t>
            </w:r>
            <w:r>
              <w:rPr>
                <w:rFonts w:ascii="Arial" w:hAnsi="Arial" w:cs="Arial"/>
                <w:sz w:val="18"/>
                <w:szCs w:val="18"/>
                <w:lang w:val="en-GB"/>
              </w:rPr>
              <w:t xml:space="preserve"> according to standard </w:t>
            </w:r>
            <w:r w:rsidRPr="007150D7">
              <w:rPr>
                <w:rFonts w:ascii="Arial" w:hAnsi="Arial" w:cs="Arial"/>
                <w:sz w:val="18"/>
                <w:szCs w:val="18"/>
                <w:lang w:val="en-GB"/>
              </w:rPr>
              <w:t>NCL 28051022_3: “Apply Best Practice in the use of refrigerants and lubricants in RAC installations according to environmental rules and standard</w:t>
            </w:r>
            <w:r>
              <w:rPr>
                <w:rFonts w:ascii="Arial" w:hAnsi="Arial" w:cs="Arial"/>
                <w:sz w:val="18"/>
                <w:szCs w:val="18"/>
                <w:lang w:val="en-GB"/>
              </w:rPr>
              <w:t>; number of workshops with r</w:t>
            </w:r>
            <w:r w:rsidRPr="00580255">
              <w:rPr>
                <w:rFonts w:ascii="Arial" w:hAnsi="Arial" w:cs="Arial"/>
                <w:sz w:val="18"/>
                <w:szCs w:val="18"/>
                <w:lang w:val="en-GB"/>
              </w:rPr>
              <w:t xml:space="preserve">egional and local environmental </w:t>
            </w:r>
            <w:proofErr w:type="spellStart"/>
            <w:r w:rsidRPr="00580255">
              <w:rPr>
                <w:rFonts w:ascii="Arial" w:hAnsi="Arial" w:cs="Arial"/>
                <w:sz w:val="18"/>
                <w:szCs w:val="18"/>
                <w:lang w:val="en-GB"/>
              </w:rPr>
              <w:t>authori</w:t>
            </w:r>
            <w:proofErr w:type="spellEnd"/>
            <w:r w:rsidRPr="00580255">
              <w:rPr>
                <w:rFonts w:ascii="Arial" w:hAnsi="Arial" w:cs="Arial"/>
                <w:sz w:val="18"/>
                <w:szCs w:val="18"/>
                <w:lang w:val="en-GB"/>
              </w:rPr>
              <w:t>-ties</w:t>
            </w:r>
            <w:r>
              <w:rPr>
                <w:rFonts w:ascii="Arial" w:hAnsi="Arial" w:cs="Arial"/>
                <w:sz w:val="18"/>
                <w:szCs w:val="18"/>
                <w:lang w:val="en-GB"/>
              </w:rPr>
              <w:t xml:space="preserve"> to spread information within the country.</w:t>
            </w:r>
          </w:p>
          <w:p w14:paraId="4894FCD9" w14:textId="77777777" w:rsidR="00F51328" w:rsidRPr="00634B8A" w:rsidRDefault="00F51328" w:rsidP="00D213DB">
            <w:pPr>
              <w:autoSpaceDE w:val="0"/>
              <w:autoSpaceDN w:val="0"/>
              <w:adjustRightInd w:val="0"/>
              <w:spacing w:beforeLines="20" w:before="48" w:afterLines="20" w:after="48"/>
              <w:rPr>
                <w:rFonts w:ascii="Arial" w:hAnsi="Arial" w:cs="Arial"/>
                <w:sz w:val="18"/>
                <w:szCs w:val="18"/>
                <w:lang w:val="en-GB"/>
              </w:rPr>
            </w:pPr>
          </w:p>
          <w:p w14:paraId="18712D2D" w14:textId="7F868768" w:rsidR="00F51328" w:rsidRPr="00634B8A" w:rsidRDefault="00F51328" w:rsidP="00D213DB">
            <w:pPr>
              <w:autoSpaceDE w:val="0"/>
              <w:autoSpaceDN w:val="0"/>
              <w:adjustRightInd w:val="0"/>
              <w:spacing w:beforeLines="20" w:before="48" w:afterLines="20" w:after="48"/>
              <w:rPr>
                <w:rFonts w:ascii="Arial" w:hAnsi="Arial" w:cs="Arial"/>
                <w:sz w:val="18"/>
                <w:szCs w:val="18"/>
                <w:lang w:val="en-GB"/>
              </w:rPr>
            </w:pPr>
            <w:r w:rsidRPr="00634B8A">
              <w:rPr>
                <w:rFonts w:ascii="Arial" w:hAnsi="Arial" w:cs="Arial"/>
                <w:sz w:val="18"/>
                <w:szCs w:val="18"/>
                <w:lang w:val="en-GB"/>
              </w:rPr>
              <w:t xml:space="preserve">Baseline: There is </w:t>
            </w:r>
            <w:r>
              <w:rPr>
                <w:rFonts w:ascii="Arial" w:hAnsi="Arial" w:cs="Arial"/>
                <w:sz w:val="18"/>
                <w:szCs w:val="18"/>
                <w:lang w:val="en-GB"/>
              </w:rPr>
              <w:t xml:space="preserve">only </w:t>
            </w:r>
            <w:r w:rsidRPr="00634B8A">
              <w:rPr>
                <w:rFonts w:ascii="Arial" w:hAnsi="Arial" w:cs="Arial"/>
                <w:sz w:val="18"/>
                <w:szCs w:val="18"/>
                <w:lang w:val="en-GB"/>
              </w:rPr>
              <w:t>one R-600 manufacturer and 7,600 technicians with NCL certificate</w:t>
            </w:r>
            <w:r>
              <w:rPr>
                <w:rFonts w:ascii="Arial" w:hAnsi="Arial" w:cs="Arial"/>
                <w:sz w:val="18"/>
                <w:szCs w:val="18"/>
                <w:lang w:val="en-GB"/>
              </w:rPr>
              <w:t xml:space="preserve">, by far insufficient for a sector transformation </w:t>
            </w:r>
          </w:p>
        </w:tc>
      </w:tr>
    </w:tbl>
    <w:p w14:paraId="4EA20C45" w14:textId="77777777" w:rsidR="00112883" w:rsidRPr="00015A2B" w:rsidRDefault="00112883" w:rsidP="00A34FC8">
      <w:pPr>
        <w:tabs>
          <w:tab w:val="left" w:pos="7980"/>
        </w:tabs>
        <w:rPr>
          <w:lang w:val="en-GB"/>
        </w:rPr>
      </w:pPr>
    </w:p>
    <w:sectPr w:rsidR="00112883" w:rsidRPr="00015A2B" w:rsidSect="00320DBE">
      <w:headerReference w:type="default" r:id="rId8"/>
      <w:footerReference w:type="default" r:id="rId9"/>
      <w:pgSz w:w="16838" w:h="11906" w:orient="landscape" w:code="9"/>
      <w:pgMar w:top="1418" w:right="1418" w:bottom="1418" w:left="1276" w:header="42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F58D5" w14:textId="77777777" w:rsidR="00AF5A60" w:rsidRDefault="00AF5A60" w:rsidP="00A637D0">
      <w:r>
        <w:separator/>
      </w:r>
    </w:p>
  </w:endnote>
  <w:endnote w:type="continuationSeparator" w:id="0">
    <w:p w14:paraId="1E97DE0A" w14:textId="77777777" w:rsidR="00AF5A60" w:rsidRDefault="00AF5A60" w:rsidP="00A6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494596"/>
      <w:docPartObj>
        <w:docPartGallery w:val="Page Numbers (Bottom of Page)"/>
        <w:docPartUnique/>
      </w:docPartObj>
    </w:sdtPr>
    <w:sdtEndPr/>
    <w:sdtContent>
      <w:p w14:paraId="2972EAD0" w14:textId="77777777" w:rsidR="004462DA" w:rsidRDefault="004462DA">
        <w:pPr>
          <w:pStyle w:val="Footer"/>
          <w:jc w:val="right"/>
        </w:pPr>
        <w:r>
          <w:fldChar w:fldCharType="begin"/>
        </w:r>
        <w:r>
          <w:instrText>PAGE   \* MERGEFORMAT</w:instrText>
        </w:r>
        <w:r>
          <w:fldChar w:fldCharType="separate"/>
        </w:r>
        <w:r w:rsidR="00D77FB3">
          <w:rPr>
            <w:noProof/>
          </w:rPr>
          <w:t>6</w:t>
        </w:r>
        <w:r>
          <w:fldChar w:fldCharType="end"/>
        </w:r>
      </w:p>
    </w:sdtContent>
  </w:sdt>
  <w:p w14:paraId="38A6EC81" w14:textId="77777777" w:rsidR="004462DA" w:rsidRPr="00165E31" w:rsidRDefault="004462DA" w:rsidP="00165E31">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68C48" w14:textId="77777777" w:rsidR="00AF5A60" w:rsidRDefault="00AF5A60" w:rsidP="00A637D0">
      <w:r>
        <w:separator/>
      </w:r>
    </w:p>
  </w:footnote>
  <w:footnote w:type="continuationSeparator" w:id="0">
    <w:p w14:paraId="3D42D22A" w14:textId="77777777" w:rsidR="00AF5A60" w:rsidRDefault="00AF5A60" w:rsidP="00A637D0">
      <w:r>
        <w:continuationSeparator/>
      </w:r>
    </w:p>
  </w:footnote>
  <w:footnote w:id="1">
    <w:p w14:paraId="10040503" w14:textId="77777777" w:rsidR="00F51328" w:rsidRPr="000969F0" w:rsidRDefault="00F51328" w:rsidP="00B863CC">
      <w:pPr>
        <w:pStyle w:val="FootnoteText"/>
        <w:rPr>
          <w:rFonts w:ascii="Arial" w:hAnsi="Arial" w:cs="Arial"/>
          <w:sz w:val="18"/>
          <w:szCs w:val="18"/>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9892"/>
      <w:gridCol w:w="4252"/>
    </w:tblGrid>
    <w:tr w:rsidR="004462DA" w:rsidRPr="0054754D" w14:paraId="4F98AF03" w14:textId="77777777" w:rsidTr="00625191">
      <w:tc>
        <w:tcPr>
          <w:tcW w:w="3497" w:type="pct"/>
        </w:tcPr>
        <w:p w14:paraId="328FE580" w14:textId="25E542F4" w:rsidR="004462DA" w:rsidRPr="0025186C" w:rsidRDefault="0054754D" w:rsidP="0066392A">
          <w:pPr>
            <w:autoSpaceDE w:val="0"/>
            <w:autoSpaceDN w:val="0"/>
            <w:adjustRightInd w:val="0"/>
            <w:spacing w:before="360"/>
            <w:rPr>
              <w:rFonts w:ascii="Arial" w:hAnsi="Arial" w:cs="Arial"/>
              <w:bCs/>
              <w:i/>
              <w:iCs/>
              <w:sz w:val="20"/>
              <w:szCs w:val="20"/>
              <w:lang w:val="en-US"/>
            </w:rPr>
          </w:pPr>
          <w:r>
            <w:rPr>
              <w:rFonts w:ascii="Arial" w:hAnsi="Arial" w:cs="Arial"/>
              <w:b/>
              <w:bCs/>
              <w:i/>
              <w:iCs/>
              <w:lang w:val="en-US"/>
            </w:rPr>
            <w:t>Annex 1</w:t>
          </w:r>
          <w:r w:rsidR="004462DA">
            <w:rPr>
              <w:rFonts w:ascii="Arial" w:hAnsi="Arial" w:cs="Arial"/>
              <w:b/>
              <w:bCs/>
              <w:i/>
              <w:iCs/>
              <w:lang w:val="en-US"/>
            </w:rPr>
            <w:t xml:space="preserve">: </w:t>
          </w:r>
          <w:r>
            <w:rPr>
              <w:rFonts w:ascii="Arial" w:hAnsi="Arial" w:cs="Arial"/>
              <w:b/>
              <w:bCs/>
              <w:i/>
              <w:iCs/>
              <w:lang w:val="en-US"/>
            </w:rPr>
            <w:t xml:space="preserve">Indicators of the </w:t>
          </w:r>
          <w:r w:rsidRPr="0054754D">
            <w:rPr>
              <w:rFonts w:ascii="Arial" w:hAnsi="Arial" w:cs="Arial"/>
              <w:b/>
              <w:bCs/>
              <w:i/>
              <w:iCs/>
              <w:lang w:val="en-GB"/>
            </w:rPr>
            <w:t>Colombian NAMA for the domestic refrigeration sector</w:t>
          </w:r>
        </w:p>
        <w:p w14:paraId="55641F6A" w14:textId="77777777" w:rsidR="004462DA" w:rsidRPr="0025186C" w:rsidRDefault="004462DA" w:rsidP="00A34FC8">
          <w:pPr>
            <w:autoSpaceDE w:val="0"/>
            <w:autoSpaceDN w:val="0"/>
            <w:adjustRightInd w:val="0"/>
            <w:spacing w:before="240"/>
            <w:rPr>
              <w:rFonts w:ascii="Arial" w:hAnsi="Arial" w:cs="Arial"/>
              <w:b/>
              <w:bCs/>
              <w:i/>
              <w:iCs/>
              <w:lang w:val="en-US"/>
            </w:rPr>
          </w:pPr>
        </w:p>
      </w:tc>
      <w:tc>
        <w:tcPr>
          <w:tcW w:w="1503" w:type="pct"/>
        </w:tcPr>
        <w:p w14:paraId="7D15FD05" w14:textId="77777777" w:rsidR="004462DA" w:rsidRPr="0025186C" w:rsidRDefault="004462DA" w:rsidP="00112883">
          <w:pPr>
            <w:pStyle w:val="Header"/>
            <w:tabs>
              <w:tab w:val="clear" w:pos="4536"/>
              <w:tab w:val="clear" w:pos="9072"/>
              <w:tab w:val="right" w:pos="9356"/>
            </w:tabs>
            <w:ind w:right="-227"/>
            <w:jc w:val="right"/>
            <w:rPr>
              <w:lang w:val="en-US"/>
            </w:rPr>
          </w:pPr>
        </w:p>
      </w:tc>
    </w:tr>
  </w:tbl>
  <w:p w14:paraId="2F7EEC38" w14:textId="77777777" w:rsidR="004462DA" w:rsidRPr="0025186C" w:rsidRDefault="004462DA" w:rsidP="00165E31">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5A1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BCA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9406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74D8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408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265D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788B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6811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CAC66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7CC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A6B95"/>
    <w:multiLevelType w:val="hybridMultilevel"/>
    <w:tmpl w:val="156E6AC2"/>
    <w:lvl w:ilvl="0" w:tplc="F66E5C02">
      <w:start w:val="1"/>
      <w:numFmt w:val="decimal"/>
      <w:lvlText w:val="%1."/>
      <w:lvlJc w:val="left"/>
      <w:pPr>
        <w:ind w:left="360" w:hanging="360"/>
      </w:pPr>
      <w:rPr>
        <w:rFonts w:ascii="Arial" w:hAnsi="Arial" w:hint="default"/>
        <w:b/>
        <w:i w:val="0"/>
        <w:sz w:val="18"/>
      </w:rPr>
    </w:lvl>
    <w:lvl w:ilvl="1" w:tplc="58366876">
      <w:numFmt w:val="bullet"/>
      <w:lvlText w:val="-"/>
      <w:lvlJc w:val="left"/>
      <w:pPr>
        <w:tabs>
          <w:tab w:val="num" w:pos="1080"/>
        </w:tabs>
        <w:ind w:left="1080" w:hanging="360"/>
      </w:pPr>
      <w:rPr>
        <w:rFonts w:ascii="Franklin Gothic Book" w:eastAsia="Times New Roman" w:hAnsi="Franklin Gothic Book" w:hint="default"/>
      </w:rPr>
    </w:lvl>
    <w:lvl w:ilvl="2" w:tplc="04070005">
      <w:start w:val="1"/>
      <w:numFmt w:val="decimal"/>
      <w:lvlText w:val="%3."/>
      <w:lvlJc w:val="left"/>
      <w:pPr>
        <w:tabs>
          <w:tab w:val="num" w:pos="1800"/>
        </w:tabs>
        <w:ind w:left="1800" w:hanging="360"/>
      </w:pPr>
    </w:lvl>
    <w:lvl w:ilvl="3" w:tplc="04070001">
      <w:start w:val="1"/>
      <w:numFmt w:val="decimal"/>
      <w:lvlText w:val="%4."/>
      <w:lvlJc w:val="left"/>
      <w:pPr>
        <w:tabs>
          <w:tab w:val="num" w:pos="2520"/>
        </w:tabs>
        <w:ind w:left="2520" w:hanging="360"/>
      </w:pPr>
    </w:lvl>
    <w:lvl w:ilvl="4" w:tplc="04070003">
      <w:start w:val="1"/>
      <w:numFmt w:val="decimal"/>
      <w:lvlText w:val="%5."/>
      <w:lvlJc w:val="left"/>
      <w:pPr>
        <w:tabs>
          <w:tab w:val="num" w:pos="3240"/>
        </w:tabs>
        <w:ind w:left="3240" w:hanging="360"/>
      </w:pPr>
    </w:lvl>
    <w:lvl w:ilvl="5" w:tplc="04070005">
      <w:start w:val="1"/>
      <w:numFmt w:val="decimal"/>
      <w:lvlText w:val="%6."/>
      <w:lvlJc w:val="left"/>
      <w:pPr>
        <w:tabs>
          <w:tab w:val="num" w:pos="3960"/>
        </w:tabs>
        <w:ind w:left="3960" w:hanging="360"/>
      </w:pPr>
    </w:lvl>
    <w:lvl w:ilvl="6" w:tplc="04070001">
      <w:start w:val="1"/>
      <w:numFmt w:val="decimal"/>
      <w:lvlText w:val="%7."/>
      <w:lvlJc w:val="left"/>
      <w:pPr>
        <w:tabs>
          <w:tab w:val="num" w:pos="4680"/>
        </w:tabs>
        <w:ind w:left="4680" w:hanging="360"/>
      </w:pPr>
    </w:lvl>
    <w:lvl w:ilvl="7" w:tplc="04070003">
      <w:start w:val="1"/>
      <w:numFmt w:val="decimal"/>
      <w:lvlText w:val="%8."/>
      <w:lvlJc w:val="left"/>
      <w:pPr>
        <w:tabs>
          <w:tab w:val="num" w:pos="5400"/>
        </w:tabs>
        <w:ind w:left="5400" w:hanging="360"/>
      </w:pPr>
    </w:lvl>
    <w:lvl w:ilvl="8" w:tplc="04070005">
      <w:start w:val="1"/>
      <w:numFmt w:val="decimal"/>
      <w:lvlText w:val="%9."/>
      <w:lvlJc w:val="left"/>
      <w:pPr>
        <w:tabs>
          <w:tab w:val="num" w:pos="6120"/>
        </w:tabs>
        <w:ind w:left="6120" w:hanging="360"/>
      </w:pPr>
    </w:lvl>
  </w:abstractNum>
  <w:abstractNum w:abstractNumId="11" w15:restartNumberingAfterBreak="0">
    <w:nsid w:val="032C545D"/>
    <w:multiLevelType w:val="hybridMultilevel"/>
    <w:tmpl w:val="691AAABE"/>
    <w:lvl w:ilvl="0" w:tplc="F66E5C02">
      <w:start w:val="1"/>
      <w:numFmt w:val="decimal"/>
      <w:lvlText w:val="%1."/>
      <w:lvlJc w:val="left"/>
      <w:pPr>
        <w:ind w:left="720" w:hanging="360"/>
      </w:pPr>
      <w:rPr>
        <w:rFonts w:ascii="Arial" w:hAnsi="Arial" w:hint="default"/>
        <w:b/>
        <w:i w:val="0"/>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6DA0A3B"/>
    <w:multiLevelType w:val="hybridMultilevel"/>
    <w:tmpl w:val="0F28C342"/>
    <w:lvl w:ilvl="0" w:tplc="F66E5C02">
      <w:start w:val="1"/>
      <w:numFmt w:val="decimal"/>
      <w:lvlText w:val="%1."/>
      <w:lvlJc w:val="left"/>
      <w:pPr>
        <w:ind w:left="360" w:hanging="360"/>
      </w:pPr>
      <w:rPr>
        <w:rFonts w:ascii="Arial" w:hAnsi="Arial" w:hint="default"/>
        <w:b/>
        <w:i w:val="0"/>
        <w:sz w:val="1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10C45E85"/>
    <w:multiLevelType w:val="hybridMultilevel"/>
    <w:tmpl w:val="AE84925E"/>
    <w:lvl w:ilvl="0" w:tplc="7C4A98E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1EA6713"/>
    <w:multiLevelType w:val="hybridMultilevel"/>
    <w:tmpl w:val="44E8C7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11F64957"/>
    <w:multiLevelType w:val="hybridMultilevel"/>
    <w:tmpl w:val="F77E488E"/>
    <w:lvl w:ilvl="0" w:tplc="04070001">
      <w:start w:val="1"/>
      <w:numFmt w:val="bullet"/>
      <w:lvlText w:val=""/>
      <w:lvlJc w:val="left"/>
      <w:pPr>
        <w:ind w:left="720" w:hanging="360"/>
      </w:pPr>
      <w:rPr>
        <w:rFonts w:ascii="Symbol" w:hAnsi="Symbol" w:hint="default"/>
      </w:rPr>
    </w:lvl>
    <w:lvl w:ilvl="1" w:tplc="F66E5C02">
      <w:start w:val="1"/>
      <w:numFmt w:val="decimal"/>
      <w:lvlText w:val="%2."/>
      <w:lvlJc w:val="left"/>
      <w:pPr>
        <w:tabs>
          <w:tab w:val="num" w:pos="1440"/>
        </w:tabs>
        <w:ind w:left="1440" w:hanging="360"/>
      </w:pPr>
      <w:rPr>
        <w:rFonts w:ascii="Arial" w:hAnsi="Arial" w:hint="default"/>
        <w:b/>
        <w:i w:val="0"/>
        <w:sz w:val="18"/>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15:restartNumberingAfterBreak="0">
    <w:nsid w:val="1A834A4C"/>
    <w:multiLevelType w:val="hybridMultilevel"/>
    <w:tmpl w:val="28B06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B0675E3"/>
    <w:multiLevelType w:val="hybridMultilevel"/>
    <w:tmpl w:val="A1C0DFD0"/>
    <w:lvl w:ilvl="0" w:tplc="04070001">
      <w:start w:val="1"/>
      <w:numFmt w:val="bullet"/>
      <w:lvlText w:val=""/>
      <w:lvlJc w:val="left"/>
      <w:pPr>
        <w:ind w:left="720" w:hanging="360"/>
      </w:pPr>
      <w:rPr>
        <w:rFonts w:ascii="Symbol" w:hAnsi="Symbol" w:hint="default"/>
      </w:rPr>
    </w:lvl>
    <w:lvl w:ilvl="1" w:tplc="58366876">
      <w:numFmt w:val="bullet"/>
      <w:lvlText w:val="-"/>
      <w:lvlJc w:val="left"/>
      <w:pPr>
        <w:tabs>
          <w:tab w:val="num" w:pos="1440"/>
        </w:tabs>
        <w:ind w:left="1440" w:hanging="360"/>
      </w:pPr>
      <w:rPr>
        <w:rFonts w:ascii="Franklin Gothic Book" w:eastAsia="Times New Roman" w:hAnsi="Franklin Gothic Book"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8" w15:restartNumberingAfterBreak="0">
    <w:nsid w:val="1BEF629F"/>
    <w:multiLevelType w:val="hybridMultilevel"/>
    <w:tmpl w:val="5E8454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C354B79"/>
    <w:multiLevelType w:val="hybridMultilevel"/>
    <w:tmpl w:val="3BB05240"/>
    <w:lvl w:ilvl="0" w:tplc="7C4A98E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F6E65B0"/>
    <w:multiLevelType w:val="hybridMultilevel"/>
    <w:tmpl w:val="CA3609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4AF7A8D"/>
    <w:multiLevelType w:val="hybridMultilevel"/>
    <w:tmpl w:val="033ED6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5BC66C1"/>
    <w:multiLevelType w:val="hybridMultilevel"/>
    <w:tmpl w:val="9E802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6460E0E"/>
    <w:multiLevelType w:val="hybridMultilevel"/>
    <w:tmpl w:val="DEF85C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CD64FAD"/>
    <w:multiLevelType w:val="hybridMultilevel"/>
    <w:tmpl w:val="A0B0027C"/>
    <w:lvl w:ilvl="0" w:tplc="04070001">
      <w:start w:val="1"/>
      <w:numFmt w:val="bullet"/>
      <w:lvlText w:val=""/>
      <w:lvlJc w:val="left"/>
      <w:pPr>
        <w:ind w:left="720" w:hanging="360"/>
      </w:pPr>
      <w:rPr>
        <w:rFonts w:ascii="Symbol" w:hAnsi="Symbol" w:hint="default"/>
      </w:rPr>
    </w:lvl>
    <w:lvl w:ilvl="1" w:tplc="58366876">
      <w:numFmt w:val="bullet"/>
      <w:lvlText w:val="-"/>
      <w:lvlJc w:val="left"/>
      <w:pPr>
        <w:tabs>
          <w:tab w:val="num" w:pos="1440"/>
        </w:tabs>
        <w:ind w:left="1440" w:hanging="360"/>
      </w:pPr>
      <w:rPr>
        <w:rFonts w:ascii="Franklin Gothic Book" w:eastAsia="Times New Roman" w:hAnsi="Franklin Gothic Book"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5" w15:restartNumberingAfterBreak="0">
    <w:nsid w:val="2DA96B91"/>
    <w:multiLevelType w:val="hybridMultilevel"/>
    <w:tmpl w:val="AD006A5C"/>
    <w:lvl w:ilvl="0" w:tplc="F66E5C02">
      <w:start w:val="1"/>
      <w:numFmt w:val="decimal"/>
      <w:lvlText w:val="%1."/>
      <w:lvlJc w:val="left"/>
      <w:pPr>
        <w:ind w:left="360" w:hanging="360"/>
      </w:pPr>
      <w:rPr>
        <w:rFonts w:ascii="Arial" w:hAnsi="Arial" w:hint="default"/>
        <w:b/>
        <w:i w:val="0"/>
        <w:sz w:val="18"/>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21229C1"/>
    <w:multiLevelType w:val="hybridMultilevel"/>
    <w:tmpl w:val="F572AA90"/>
    <w:lvl w:ilvl="0" w:tplc="F66E5C02">
      <w:start w:val="1"/>
      <w:numFmt w:val="decimal"/>
      <w:lvlText w:val="%1."/>
      <w:lvlJc w:val="left"/>
      <w:pPr>
        <w:ind w:left="1163" w:hanging="360"/>
      </w:pPr>
      <w:rPr>
        <w:rFonts w:ascii="Arial" w:hAnsi="Arial" w:hint="default"/>
        <w:b/>
        <w:i w:val="0"/>
        <w:sz w:val="18"/>
      </w:rPr>
    </w:lvl>
    <w:lvl w:ilvl="1" w:tplc="04070019">
      <w:start w:val="1"/>
      <w:numFmt w:val="lowerLetter"/>
      <w:lvlText w:val="%2."/>
      <w:lvlJc w:val="left"/>
      <w:pPr>
        <w:ind w:left="1883" w:hanging="360"/>
      </w:pPr>
    </w:lvl>
    <w:lvl w:ilvl="2" w:tplc="0407001B" w:tentative="1">
      <w:start w:val="1"/>
      <w:numFmt w:val="lowerRoman"/>
      <w:lvlText w:val="%3."/>
      <w:lvlJc w:val="right"/>
      <w:pPr>
        <w:ind w:left="2603" w:hanging="180"/>
      </w:pPr>
    </w:lvl>
    <w:lvl w:ilvl="3" w:tplc="0407000F" w:tentative="1">
      <w:start w:val="1"/>
      <w:numFmt w:val="decimal"/>
      <w:lvlText w:val="%4."/>
      <w:lvlJc w:val="left"/>
      <w:pPr>
        <w:ind w:left="3323" w:hanging="360"/>
      </w:pPr>
    </w:lvl>
    <w:lvl w:ilvl="4" w:tplc="04070019" w:tentative="1">
      <w:start w:val="1"/>
      <w:numFmt w:val="lowerLetter"/>
      <w:lvlText w:val="%5."/>
      <w:lvlJc w:val="left"/>
      <w:pPr>
        <w:ind w:left="4043" w:hanging="360"/>
      </w:pPr>
    </w:lvl>
    <w:lvl w:ilvl="5" w:tplc="0407001B" w:tentative="1">
      <w:start w:val="1"/>
      <w:numFmt w:val="lowerRoman"/>
      <w:lvlText w:val="%6."/>
      <w:lvlJc w:val="right"/>
      <w:pPr>
        <w:ind w:left="4763" w:hanging="180"/>
      </w:pPr>
    </w:lvl>
    <w:lvl w:ilvl="6" w:tplc="0407000F" w:tentative="1">
      <w:start w:val="1"/>
      <w:numFmt w:val="decimal"/>
      <w:lvlText w:val="%7."/>
      <w:lvlJc w:val="left"/>
      <w:pPr>
        <w:ind w:left="5483" w:hanging="360"/>
      </w:pPr>
    </w:lvl>
    <w:lvl w:ilvl="7" w:tplc="04070019" w:tentative="1">
      <w:start w:val="1"/>
      <w:numFmt w:val="lowerLetter"/>
      <w:lvlText w:val="%8."/>
      <w:lvlJc w:val="left"/>
      <w:pPr>
        <w:ind w:left="6203" w:hanging="360"/>
      </w:pPr>
    </w:lvl>
    <w:lvl w:ilvl="8" w:tplc="0407001B" w:tentative="1">
      <w:start w:val="1"/>
      <w:numFmt w:val="lowerRoman"/>
      <w:lvlText w:val="%9."/>
      <w:lvlJc w:val="right"/>
      <w:pPr>
        <w:ind w:left="6923" w:hanging="180"/>
      </w:pPr>
    </w:lvl>
  </w:abstractNum>
  <w:abstractNum w:abstractNumId="27" w15:restartNumberingAfterBreak="0">
    <w:nsid w:val="3FC8136B"/>
    <w:multiLevelType w:val="hybridMultilevel"/>
    <w:tmpl w:val="B8041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2446848"/>
    <w:multiLevelType w:val="hybridMultilevel"/>
    <w:tmpl w:val="AF4C8374"/>
    <w:lvl w:ilvl="0" w:tplc="04070001">
      <w:start w:val="1"/>
      <w:numFmt w:val="bullet"/>
      <w:lvlText w:val=""/>
      <w:lvlJc w:val="left"/>
      <w:pPr>
        <w:ind w:left="720" w:hanging="360"/>
      </w:pPr>
      <w:rPr>
        <w:rFonts w:ascii="Symbol" w:hAnsi="Symbol" w:hint="default"/>
      </w:rPr>
    </w:lvl>
    <w:lvl w:ilvl="1" w:tplc="58366876">
      <w:numFmt w:val="bullet"/>
      <w:lvlText w:val="-"/>
      <w:lvlJc w:val="left"/>
      <w:pPr>
        <w:tabs>
          <w:tab w:val="num" w:pos="1440"/>
        </w:tabs>
        <w:ind w:left="1440" w:hanging="360"/>
      </w:pPr>
      <w:rPr>
        <w:rFonts w:ascii="Franklin Gothic Book" w:eastAsia="Times New Roman" w:hAnsi="Franklin Gothic Book"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9" w15:restartNumberingAfterBreak="0">
    <w:nsid w:val="4695102C"/>
    <w:multiLevelType w:val="hybridMultilevel"/>
    <w:tmpl w:val="1AF212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21C40FB"/>
    <w:multiLevelType w:val="hybridMultilevel"/>
    <w:tmpl w:val="21D2F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38E3AAF"/>
    <w:multiLevelType w:val="hybridMultilevel"/>
    <w:tmpl w:val="3290368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2" w15:restartNumberingAfterBreak="0">
    <w:nsid w:val="556002F6"/>
    <w:multiLevelType w:val="hybridMultilevel"/>
    <w:tmpl w:val="8FAAED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C5C7F7F"/>
    <w:multiLevelType w:val="hybridMultilevel"/>
    <w:tmpl w:val="0C7073C0"/>
    <w:lvl w:ilvl="0" w:tplc="F66E5C02">
      <w:start w:val="1"/>
      <w:numFmt w:val="decimal"/>
      <w:lvlText w:val="%1."/>
      <w:lvlJc w:val="left"/>
      <w:pPr>
        <w:ind w:left="720" w:hanging="360"/>
      </w:pPr>
      <w:rPr>
        <w:rFonts w:ascii="Arial" w:hAnsi="Arial" w:hint="default"/>
        <w:b/>
        <w:i w:val="0"/>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D6124A8"/>
    <w:multiLevelType w:val="hybridMultilevel"/>
    <w:tmpl w:val="172EC00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5" w15:restartNumberingAfterBreak="0">
    <w:nsid w:val="5F9C1B9A"/>
    <w:multiLevelType w:val="hybridMultilevel"/>
    <w:tmpl w:val="41D02F4A"/>
    <w:lvl w:ilvl="0" w:tplc="F66E5C02">
      <w:start w:val="1"/>
      <w:numFmt w:val="decimal"/>
      <w:lvlText w:val="%1."/>
      <w:lvlJc w:val="left"/>
      <w:pPr>
        <w:ind w:left="1163" w:hanging="360"/>
      </w:pPr>
      <w:rPr>
        <w:rFonts w:ascii="Arial" w:hAnsi="Arial" w:hint="default"/>
        <w:b/>
        <w:i w:val="0"/>
        <w:sz w:val="18"/>
      </w:rPr>
    </w:lvl>
    <w:lvl w:ilvl="1" w:tplc="F66E5C02">
      <w:start w:val="1"/>
      <w:numFmt w:val="decimal"/>
      <w:lvlText w:val="%2."/>
      <w:lvlJc w:val="left"/>
      <w:pPr>
        <w:ind w:left="1883" w:hanging="360"/>
      </w:pPr>
      <w:rPr>
        <w:rFonts w:ascii="Arial" w:hAnsi="Arial" w:hint="default"/>
        <w:b/>
        <w:i w:val="0"/>
        <w:sz w:val="18"/>
      </w:rPr>
    </w:lvl>
    <w:lvl w:ilvl="2" w:tplc="0407001B" w:tentative="1">
      <w:start w:val="1"/>
      <w:numFmt w:val="lowerRoman"/>
      <w:lvlText w:val="%3."/>
      <w:lvlJc w:val="right"/>
      <w:pPr>
        <w:ind w:left="2603" w:hanging="180"/>
      </w:pPr>
    </w:lvl>
    <w:lvl w:ilvl="3" w:tplc="0407000F" w:tentative="1">
      <w:start w:val="1"/>
      <w:numFmt w:val="decimal"/>
      <w:lvlText w:val="%4."/>
      <w:lvlJc w:val="left"/>
      <w:pPr>
        <w:ind w:left="3323" w:hanging="360"/>
      </w:pPr>
    </w:lvl>
    <w:lvl w:ilvl="4" w:tplc="04070019" w:tentative="1">
      <w:start w:val="1"/>
      <w:numFmt w:val="lowerLetter"/>
      <w:lvlText w:val="%5."/>
      <w:lvlJc w:val="left"/>
      <w:pPr>
        <w:ind w:left="4043" w:hanging="360"/>
      </w:pPr>
    </w:lvl>
    <w:lvl w:ilvl="5" w:tplc="0407001B" w:tentative="1">
      <w:start w:val="1"/>
      <w:numFmt w:val="lowerRoman"/>
      <w:lvlText w:val="%6."/>
      <w:lvlJc w:val="right"/>
      <w:pPr>
        <w:ind w:left="4763" w:hanging="180"/>
      </w:pPr>
    </w:lvl>
    <w:lvl w:ilvl="6" w:tplc="0407000F" w:tentative="1">
      <w:start w:val="1"/>
      <w:numFmt w:val="decimal"/>
      <w:lvlText w:val="%7."/>
      <w:lvlJc w:val="left"/>
      <w:pPr>
        <w:ind w:left="5483" w:hanging="360"/>
      </w:pPr>
    </w:lvl>
    <w:lvl w:ilvl="7" w:tplc="04070019" w:tentative="1">
      <w:start w:val="1"/>
      <w:numFmt w:val="lowerLetter"/>
      <w:lvlText w:val="%8."/>
      <w:lvlJc w:val="left"/>
      <w:pPr>
        <w:ind w:left="6203" w:hanging="360"/>
      </w:pPr>
    </w:lvl>
    <w:lvl w:ilvl="8" w:tplc="0407001B" w:tentative="1">
      <w:start w:val="1"/>
      <w:numFmt w:val="lowerRoman"/>
      <w:lvlText w:val="%9."/>
      <w:lvlJc w:val="right"/>
      <w:pPr>
        <w:ind w:left="6923" w:hanging="180"/>
      </w:pPr>
    </w:lvl>
  </w:abstractNum>
  <w:abstractNum w:abstractNumId="36" w15:restartNumberingAfterBreak="0">
    <w:nsid w:val="66F108A2"/>
    <w:multiLevelType w:val="hybridMultilevel"/>
    <w:tmpl w:val="999A1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B224662"/>
    <w:multiLevelType w:val="hybridMultilevel"/>
    <w:tmpl w:val="C02A7C62"/>
    <w:lvl w:ilvl="0" w:tplc="F66E5C02">
      <w:start w:val="1"/>
      <w:numFmt w:val="decimal"/>
      <w:lvlText w:val="%1."/>
      <w:lvlJc w:val="left"/>
      <w:pPr>
        <w:ind w:left="360" w:hanging="360"/>
      </w:pPr>
      <w:rPr>
        <w:rFonts w:ascii="Arial" w:hAnsi="Arial" w:hint="default"/>
        <w:b/>
        <w:i w:val="0"/>
        <w:sz w:val="18"/>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0217F88"/>
    <w:multiLevelType w:val="hybridMultilevel"/>
    <w:tmpl w:val="98464868"/>
    <w:lvl w:ilvl="0" w:tplc="F66E5C02">
      <w:start w:val="1"/>
      <w:numFmt w:val="decimal"/>
      <w:lvlText w:val="%1."/>
      <w:lvlJc w:val="left"/>
      <w:pPr>
        <w:ind w:left="360" w:hanging="360"/>
      </w:pPr>
      <w:rPr>
        <w:rFonts w:ascii="Arial" w:hAnsi="Arial" w:hint="default"/>
        <w:b/>
        <w:i w:val="0"/>
        <w:sz w:val="1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725741E9"/>
    <w:multiLevelType w:val="hybridMultilevel"/>
    <w:tmpl w:val="75189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4D14205"/>
    <w:multiLevelType w:val="hybridMultilevel"/>
    <w:tmpl w:val="DD628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6A975C8"/>
    <w:multiLevelType w:val="hybridMultilevel"/>
    <w:tmpl w:val="02DC300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2" w15:restartNumberingAfterBreak="0">
    <w:nsid w:val="7A5614F8"/>
    <w:multiLevelType w:val="hybridMultilevel"/>
    <w:tmpl w:val="31E6D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1"/>
  </w:num>
  <w:num w:numId="12">
    <w:abstractNumId w:val="29"/>
  </w:num>
  <w:num w:numId="13">
    <w:abstractNumId w:val="16"/>
  </w:num>
  <w:num w:numId="14">
    <w:abstractNumId w:val="27"/>
  </w:num>
  <w:num w:numId="15">
    <w:abstractNumId w:val="24"/>
  </w:num>
  <w:num w:numId="16">
    <w:abstractNumId w:val="15"/>
  </w:num>
  <w:num w:numId="17">
    <w:abstractNumId w:val="36"/>
  </w:num>
  <w:num w:numId="18">
    <w:abstractNumId w:val="10"/>
  </w:num>
  <w:num w:numId="19">
    <w:abstractNumId w:val="28"/>
  </w:num>
  <w:num w:numId="20">
    <w:abstractNumId w:val="17"/>
  </w:num>
  <w:num w:numId="21">
    <w:abstractNumId w:val="22"/>
  </w:num>
  <w:num w:numId="22">
    <w:abstractNumId w:val="20"/>
  </w:num>
  <w:num w:numId="23">
    <w:abstractNumId w:val="23"/>
  </w:num>
  <w:num w:numId="24">
    <w:abstractNumId w:val="18"/>
  </w:num>
  <w:num w:numId="25">
    <w:abstractNumId w:val="41"/>
  </w:num>
  <w:num w:numId="26">
    <w:abstractNumId w:val="12"/>
  </w:num>
  <w:num w:numId="27">
    <w:abstractNumId w:val="25"/>
  </w:num>
  <w:num w:numId="28">
    <w:abstractNumId w:val="37"/>
  </w:num>
  <w:num w:numId="29">
    <w:abstractNumId w:val="39"/>
  </w:num>
  <w:num w:numId="30">
    <w:abstractNumId w:val="38"/>
  </w:num>
  <w:num w:numId="31">
    <w:abstractNumId w:val="14"/>
  </w:num>
  <w:num w:numId="32">
    <w:abstractNumId w:val="30"/>
  </w:num>
  <w:num w:numId="33">
    <w:abstractNumId w:val="19"/>
  </w:num>
  <w:num w:numId="34">
    <w:abstractNumId w:val="11"/>
  </w:num>
  <w:num w:numId="35">
    <w:abstractNumId w:val="26"/>
  </w:num>
  <w:num w:numId="36">
    <w:abstractNumId w:val="35"/>
  </w:num>
  <w:num w:numId="37">
    <w:abstractNumId w:val="13"/>
  </w:num>
  <w:num w:numId="38">
    <w:abstractNumId w:val="33"/>
  </w:num>
  <w:num w:numId="39">
    <w:abstractNumId w:val="32"/>
  </w:num>
  <w:num w:numId="40">
    <w:abstractNumId w:val="42"/>
  </w:num>
  <w:num w:numId="41">
    <w:abstractNumId w:val="31"/>
  </w:num>
  <w:num w:numId="42">
    <w:abstractNumId w:val="40"/>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79"/>
    <w:rsid w:val="00006FE3"/>
    <w:rsid w:val="000102ED"/>
    <w:rsid w:val="00015A2B"/>
    <w:rsid w:val="000304BC"/>
    <w:rsid w:val="00033757"/>
    <w:rsid w:val="00042C17"/>
    <w:rsid w:val="0004586C"/>
    <w:rsid w:val="00087AC5"/>
    <w:rsid w:val="000969F0"/>
    <w:rsid w:val="000A2288"/>
    <w:rsid w:val="000A3AE0"/>
    <w:rsid w:val="000A5272"/>
    <w:rsid w:val="000A5C66"/>
    <w:rsid w:val="000B30F3"/>
    <w:rsid w:val="000C1CD9"/>
    <w:rsid w:val="000C5934"/>
    <w:rsid w:val="000D3A16"/>
    <w:rsid w:val="000F1C7E"/>
    <w:rsid w:val="00102FEB"/>
    <w:rsid w:val="00112883"/>
    <w:rsid w:val="001130BA"/>
    <w:rsid w:val="00123C4B"/>
    <w:rsid w:val="001307BD"/>
    <w:rsid w:val="001344F8"/>
    <w:rsid w:val="001601E5"/>
    <w:rsid w:val="00160B9E"/>
    <w:rsid w:val="00165E31"/>
    <w:rsid w:val="00190868"/>
    <w:rsid w:val="001A22C0"/>
    <w:rsid w:val="001A28F7"/>
    <w:rsid w:val="001B141D"/>
    <w:rsid w:val="001C07C7"/>
    <w:rsid w:val="001C2704"/>
    <w:rsid w:val="001C2B36"/>
    <w:rsid w:val="001D7231"/>
    <w:rsid w:val="001E7EEF"/>
    <w:rsid w:val="00205815"/>
    <w:rsid w:val="002058A5"/>
    <w:rsid w:val="002146C0"/>
    <w:rsid w:val="002252C6"/>
    <w:rsid w:val="00233BB3"/>
    <w:rsid w:val="002478BE"/>
    <w:rsid w:val="0025186C"/>
    <w:rsid w:val="00251AAD"/>
    <w:rsid w:val="002532B6"/>
    <w:rsid w:val="00254ABF"/>
    <w:rsid w:val="002616A5"/>
    <w:rsid w:val="00262971"/>
    <w:rsid w:val="002647AA"/>
    <w:rsid w:val="00264EA9"/>
    <w:rsid w:val="00264FCF"/>
    <w:rsid w:val="0027106B"/>
    <w:rsid w:val="00271AA6"/>
    <w:rsid w:val="00274466"/>
    <w:rsid w:val="00281FF2"/>
    <w:rsid w:val="002C318A"/>
    <w:rsid w:val="002D42F0"/>
    <w:rsid w:val="00302262"/>
    <w:rsid w:val="00304D87"/>
    <w:rsid w:val="0030501A"/>
    <w:rsid w:val="0030634D"/>
    <w:rsid w:val="00320499"/>
    <w:rsid w:val="00320DBE"/>
    <w:rsid w:val="003306FA"/>
    <w:rsid w:val="00333771"/>
    <w:rsid w:val="00333EFE"/>
    <w:rsid w:val="00341C82"/>
    <w:rsid w:val="00345381"/>
    <w:rsid w:val="003514EE"/>
    <w:rsid w:val="00356C43"/>
    <w:rsid w:val="003611DB"/>
    <w:rsid w:val="00365A0D"/>
    <w:rsid w:val="00374FCB"/>
    <w:rsid w:val="003801AA"/>
    <w:rsid w:val="00391EB3"/>
    <w:rsid w:val="003945B1"/>
    <w:rsid w:val="003A2730"/>
    <w:rsid w:val="003A4FB8"/>
    <w:rsid w:val="003A6494"/>
    <w:rsid w:val="003C26EE"/>
    <w:rsid w:val="003D3036"/>
    <w:rsid w:val="003E387C"/>
    <w:rsid w:val="003F4595"/>
    <w:rsid w:val="003F6EC9"/>
    <w:rsid w:val="00413307"/>
    <w:rsid w:val="00426E76"/>
    <w:rsid w:val="004315EE"/>
    <w:rsid w:val="00432255"/>
    <w:rsid w:val="0043567F"/>
    <w:rsid w:val="004360C6"/>
    <w:rsid w:val="004421FE"/>
    <w:rsid w:val="004435ED"/>
    <w:rsid w:val="004462DA"/>
    <w:rsid w:val="00453BAE"/>
    <w:rsid w:val="00463EC1"/>
    <w:rsid w:val="004647AB"/>
    <w:rsid w:val="00466305"/>
    <w:rsid w:val="004666E2"/>
    <w:rsid w:val="00483084"/>
    <w:rsid w:val="0049307C"/>
    <w:rsid w:val="00497553"/>
    <w:rsid w:val="004A0189"/>
    <w:rsid w:val="004C7994"/>
    <w:rsid w:val="004D0F62"/>
    <w:rsid w:val="004D5C43"/>
    <w:rsid w:val="004D7152"/>
    <w:rsid w:val="004E11DA"/>
    <w:rsid w:val="004E3C84"/>
    <w:rsid w:val="004E44F1"/>
    <w:rsid w:val="004F5875"/>
    <w:rsid w:val="0052600D"/>
    <w:rsid w:val="00536BE1"/>
    <w:rsid w:val="0054754D"/>
    <w:rsid w:val="00552F38"/>
    <w:rsid w:val="00553074"/>
    <w:rsid w:val="0056050C"/>
    <w:rsid w:val="00580255"/>
    <w:rsid w:val="0059520F"/>
    <w:rsid w:val="005A3CA6"/>
    <w:rsid w:val="005A4837"/>
    <w:rsid w:val="005B0F5D"/>
    <w:rsid w:val="005B4241"/>
    <w:rsid w:val="005C4CC8"/>
    <w:rsid w:val="005D3947"/>
    <w:rsid w:val="005D500F"/>
    <w:rsid w:val="005D5534"/>
    <w:rsid w:val="00601D68"/>
    <w:rsid w:val="00601EDB"/>
    <w:rsid w:val="00610B48"/>
    <w:rsid w:val="00613B92"/>
    <w:rsid w:val="00625191"/>
    <w:rsid w:val="0063119F"/>
    <w:rsid w:val="00634B8A"/>
    <w:rsid w:val="00641871"/>
    <w:rsid w:val="006420EC"/>
    <w:rsid w:val="006421CC"/>
    <w:rsid w:val="006539E3"/>
    <w:rsid w:val="00661303"/>
    <w:rsid w:val="00661CDA"/>
    <w:rsid w:val="0066392A"/>
    <w:rsid w:val="0066745E"/>
    <w:rsid w:val="006702BE"/>
    <w:rsid w:val="006813FB"/>
    <w:rsid w:val="00690500"/>
    <w:rsid w:val="006A6F72"/>
    <w:rsid w:val="006B272A"/>
    <w:rsid w:val="006B506E"/>
    <w:rsid w:val="006B61DD"/>
    <w:rsid w:val="006B7998"/>
    <w:rsid w:val="006C0117"/>
    <w:rsid w:val="006C485A"/>
    <w:rsid w:val="006E1C55"/>
    <w:rsid w:val="006E2E2F"/>
    <w:rsid w:val="006F53C4"/>
    <w:rsid w:val="006F643B"/>
    <w:rsid w:val="00703301"/>
    <w:rsid w:val="00714614"/>
    <w:rsid w:val="007150D7"/>
    <w:rsid w:val="00716339"/>
    <w:rsid w:val="00722877"/>
    <w:rsid w:val="007413B5"/>
    <w:rsid w:val="007469B9"/>
    <w:rsid w:val="00752AC5"/>
    <w:rsid w:val="00752AE9"/>
    <w:rsid w:val="007628C2"/>
    <w:rsid w:val="00766797"/>
    <w:rsid w:val="0078179D"/>
    <w:rsid w:val="007849C7"/>
    <w:rsid w:val="0079770A"/>
    <w:rsid w:val="007A704E"/>
    <w:rsid w:val="007B14B5"/>
    <w:rsid w:val="007D0C39"/>
    <w:rsid w:val="007D0EE8"/>
    <w:rsid w:val="007D3A3F"/>
    <w:rsid w:val="007D626A"/>
    <w:rsid w:val="007E4F41"/>
    <w:rsid w:val="007E5A22"/>
    <w:rsid w:val="007F02B7"/>
    <w:rsid w:val="007F372D"/>
    <w:rsid w:val="007F7249"/>
    <w:rsid w:val="008044C7"/>
    <w:rsid w:val="00814D0C"/>
    <w:rsid w:val="00824179"/>
    <w:rsid w:val="008306EE"/>
    <w:rsid w:val="00832F31"/>
    <w:rsid w:val="00847F0B"/>
    <w:rsid w:val="008517AC"/>
    <w:rsid w:val="00856CFA"/>
    <w:rsid w:val="00867BC9"/>
    <w:rsid w:val="00880B21"/>
    <w:rsid w:val="0088642A"/>
    <w:rsid w:val="00886989"/>
    <w:rsid w:val="008A1962"/>
    <w:rsid w:val="008A25ED"/>
    <w:rsid w:val="008C00BE"/>
    <w:rsid w:val="008E2F6F"/>
    <w:rsid w:val="008E7271"/>
    <w:rsid w:val="008F41D9"/>
    <w:rsid w:val="00900588"/>
    <w:rsid w:val="00901934"/>
    <w:rsid w:val="0090752A"/>
    <w:rsid w:val="009262E5"/>
    <w:rsid w:val="00926B39"/>
    <w:rsid w:val="0094468A"/>
    <w:rsid w:val="009505F0"/>
    <w:rsid w:val="009564AE"/>
    <w:rsid w:val="00982ACC"/>
    <w:rsid w:val="00992C56"/>
    <w:rsid w:val="009A13D5"/>
    <w:rsid w:val="009A23D4"/>
    <w:rsid w:val="009A4317"/>
    <w:rsid w:val="009B0BA2"/>
    <w:rsid w:val="009B7CB9"/>
    <w:rsid w:val="009C738B"/>
    <w:rsid w:val="009D77E2"/>
    <w:rsid w:val="009E4E08"/>
    <w:rsid w:val="009E7E71"/>
    <w:rsid w:val="009F67FC"/>
    <w:rsid w:val="00A00D69"/>
    <w:rsid w:val="00A13972"/>
    <w:rsid w:val="00A22FDC"/>
    <w:rsid w:val="00A347CB"/>
    <w:rsid w:val="00A34FC8"/>
    <w:rsid w:val="00A54A8F"/>
    <w:rsid w:val="00A63157"/>
    <w:rsid w:val="00A637D0"/>
    <w:rsid w:val="00A71C29"/>
    <w:rsid w:val="00A85D5A"/>
    <w:rsid w:val="00AA0BB3"/>
    <w:rsid w:val="00AA2961"/>
    <w:rsid w:val="00AA6D44"/>
    <w:rsid w:val="00AA6E6D"/>
    <w:rsid w:val="00AA7B7A"/>
    <w:rsid w:val="00AB280C"/>
    <w:rsid w:val="00AC0E75"/>
    <w:rsid w:val="00AC314F"/>
    <w:rsid w:val="00AE6941"/>
    <w:rsid w:val="00AF5A60"/>
    <w:rsid w:val="00B11BCA"/>
    <w:rsid w:val="00B16007"/>
    <w:rsid w:val="00B16EC0"/>
    <w:rsid w:val="00B211A6"/>
    <w:rsid w:val="00B24789"/>
    <w:rsid w:val="00B2494F"/>
    <w:rsid w:val="00B44548"/>
    <w:rsid w:val="00B51FF9"/>
    <w:rsid w:val="00B56F6B"/>
    <w:rsid w:val="00B71110"/>
    <w:rsid w:val="00B82585"/>
    <w:rsid w:val="00B863CC"/>
    <w:rsid w:val="00B86CC5"/>
    <w:rsid w:val="00B9232D"/>
    <w:rsid w:val="00B969D6"/>
    <w:rsid w:val="00BA03DB"/>
    <w:rsid w:val="00BA06E5"/>
    <w:rsid w:val="00BB0DDD"/>
    <w:rsid w:val="00BC1ADE"/>
    <w:rsid w:val="00BC2F0B"/>
    <w:rsid w:val="00BC6787"/>
    <w:rsid w:val="00BD36FB"/>
    <w:rsid w:val="00BD61AB"/>
    <w:rsid w:val="00BE09A4"/>
    <w:rsid w:val="00BE6918"/>
    <w:rsid w:val="00BF5FAA"/>
    <w:rsid w:val="00BF679A"/>
    <w:rsid w:val="00C10B74"/>
    <w:rsid w:val="00C1422E"/>
    <w:rsid w:val="00C177A6"/>
    <w:rsid w:val="00C22DD4"/>
    <w:rsid w:val="00C33501"/>
    <w:rsid w:val="00C61D80"/>
    <w:rsid w:val="00C76E1E"/>
    <w:rsid w:val="00C90693"/>
    <w:rsid w:val="00CA4CAB"/>
    <w:rsid w:val="00CC3D26"/>
    <w:rsid w:val="00CC41DD"/>
    <w:rsid w:val="00CD68E2"/>
    <w:rsid w:val="00CD75B1"/>
    <w:rsid w:val="00CE0809"/>
    <w:rsid w:val="00D03F1A"/>
    <w:rsid w:val="00D04A34"/>
    <w:rsid w:val="00D10704"/>
    <w:rsid w:val="00D2054F"/>
    <w:rsid w:val="00D213DB"/>
    <w:rsid w:val="00D21998"/>
    <w:rsid w:val="00D304CA"/>
    <w:rsid w:val="00D63798"/>
    <w:rsid w:val="00D74A84"/>
    <w:rsid w:val="00D77FB3"/>
    <w:rsid w:val="00D949B9"/>
    <w:rsid w:val="00DA7AF0"/>
    <w:rsid w:val="00DB4104"/>
    <w:rsid w:val="00DD2629"/>
    <w:rsid w:val="00DD31DE"/>
    <w:rsid w:val="00DD592E"/>
    <w:rsid w:val="00DE027C"/>
    <w:rsid w:val="00DE6D89"/>
    <w:rsid w:val="00DF18AD"/>
    <w:rsid w:val="00DF6553"/>
    <w:rsid w:val="00DF6E8E"/>
    <w:rsid w:val="00E00A39"/>
    <w:rsid w:val="00E028A3"/>
    <w:rsid w:val="00E14B71"/>
    <w:rsid w:val="00E44B0D"/>
    <w:rsid w:val="00E46413"/>
    <w:rsid w:val="00E534D5"/>
    <w:rsid w:val="00E60A68"/>
    <w:rsid w:val="00E62B79"/>
    <w:rsid w:val="00E643F5"/>
    <w:rsid w:val="00E65479"/>
    <w:rsid w:val="00E81A26"/>
    <w:rsid w:val="00E9115F"/>
    <w:rsid w:val="00E91E21"/>
    <w:rsid w:val="00E92E9A"/>
    <w:rsid w:val="00E939FF"/>
    <w:rsid w:val="00E942C4"/>
    <w:rsid w:val="00EC6AFC"/>
    <w:rsid w:val="00ED39E1"/>
    <w:rsid w:val="00ED67E0"/>
    <w:rsid w:val="00ED73B1"/>
    <w:rsid w:val="00F00A28"/>
    <w:rsid w:val="00F14BE3"/>
    <w:rsid w:val="00F22082"/>
    <w:rsid w:val="00F259D5"/>
    <w:rsid w:val="00F27CC1"/>
    <w:rsid w:val="00F3671B"/>
    <w:rsid w:val="00F42058"/>
    <w:rsid w:val="00F500A9"/>
    <w:rsid w:val="00F51328"/>
    <w:rsid w:val="00F6046D"/>
    <w:rsid w:val="00F82700"/>
    <w:rsid w:val="00F85E70"/>
    <w:rsid w:val="00F87F0C"/>
    <w:rsid w:val="00F92AA8"/>
    <w:rsid w:val="00F95DB2"/>
    <w:rsid w:val="00FB25A9"/>
    <w:rsid w:val="00FD0CDF"/>
    <w:rsid w:val="00FD0F7E"/>
    <w:rsid w:val="00FD1413"/>
    <w:rsid w:val="00FE6FEC"/>
    <w:rsid w:val="00FF2925"/>
    <w:rsid w:val="00FF4CC6"/>
    <w:rsid w:val="00FF7F3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41FC10"/>
  <w15:docId w15:val="{5E2A1CD2-B6FB-4819-8FF9-153C65C19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3FB"/>
    <w:pPr>
      <w:spacing w:after="0" w:line="240" w:lineRule="auto"/>
    </w:pPr>
    <w:rPr>
      <w:rFonts w:ascii="Times New Roman" w:eastAsia="Times New Roman" w:hAnsi="Times New Roman" w:cs="Times New Roman"/>
      <w:sz w:val="24"/>
      <w:szCs w:val="24"/>
      <w:lang w:eastAsia="de-DE"/>
    </w:rPr>
  </w:style>
  <w:style w:type="paragraph" w:styleId="Heading1">
    <w:name w:val="heading 1"/>
    <w:aliases w:val="1. Überschrift"/>
    <w:basedOn w:val="Normal"/>
    <w:next w:val="Normal"/>
    <w:link w:val="Heading1Char"/>
    <w:autoRedefine/>
    <w:uiPriority w:val="1"/>
    <w:qFormat/>
    <w:rsid w:val="00E00A39"/>
    <w:pPr>
      <w:keepNext/>
      <w:keepLines/>
      <w:spacing w:before="480"/>
      <w:outlineLvl w:val="0"/>
    </w:pPr>
    <w:rPr>
      <w:rFonts w:ascii="Arial" w:eastAsiaTheme="majorEastAsia" w:hAnsi="Arial" w:cstheme="majorBidi"/>
      <w:b/>
      <w:bCs/>
      <w:sz w:val="28"/>
      <w:szCs w:val="28"/>
      <w:lang w:eastAsia="en-US"/>
    </w:rPr>
  </w:style>
  <w:style w:type="paragraph" w:styleId="Heading2">
    <w:name w:val="heading 2"/>
    <w:aliases w:val="2. Überschrift"/>
    <w:basedOn w:val="Normal"/>
    <w:next w:val="Normal"/>
    <w:link w:val="Heading2Char"/>
    <w:uiPriority w:val="1"/>
    <w:unhideWhenUsed/>
    <w:qFormat/>
    <w:rsid w:val="000F1C7E"/>
    <w:pPr>
      <w:keepNext/>
      <w:keepLines/>
      <w:spacing w:before="240"/>
      <w:outlineLvl w:val="1"/>
    </w:pPr>
    <w:rPr>
      <w:rFonts w:ascii="Arial" w:eastAsiaTheme="majorEastAsia" w:hAnsi="Arial" w:cstheme="majorBidi"/>
      <w:b/>
      <w:bCs/>
      <w:szCs w:val="26"/>
      <w:lang w:eastAsia="en-US"/>
    </w:rPr>
  </w:style>
  <w:style w:type="paragraph" w:styleId="Heading3">
    <w:name w:val="heading 3"/>
    <w:aliases w:val="3. Überschrift"/>
    <w:basedOn w:val="Normal"/>
    <w:next w:val="Normal"/>
    <w:link w:val="Heading3Char"/>
    <w:uiPriority w:val="1"/>
    <w:unhideWhenUsed/>
    <w:qFormat/>
    <w:rsid w:val="000F1C7E"/>
    <w:pPr>
      <w:keepNext/>
      <w:keepLines/>
      <w:spacing w:before="240"/>
      <w:outlineLvl w:val="2"/>
    </w:pPr>
    <w:rPr>
      <w:rFonts w:ascii="Arial" w:eastAsiaTheme="majorEastAsia" w:hAnsi="Arial" w:cstheme="majorBidi"/>
      <w:b/>
      <w:bCs/>
      <w:sz w:val="22"/>
      <w:szCs w:val="22"/>
      <w:lang w:eastAsia="en-US"/>
    </w:rPr>
  </w:style>
  <w:style w:type="paragraph" w:styleId="Heading4">
    <w:name w:val="heading 4"/>
    <w:basedOn w:val="Normal"/>
    <w:next w:val="Normal"/>
    <w:link w:val="Heading4Char"/>
    <w:uiPriority w:val="9"/>
    <w:semiHidden/>
    <w:unhideWhenUsed/>
    <w:rsid w:val="000F1C7E"/>
    <w:pPr>
      <w:keepNext/>
      <w:keepLines/>
      <w:spacing w:before="240"/>
      <w:outlineLvl w:val="3"/>
    </w:pPr>
    <w:rPr>
      <w:rFonts w:ascii="Arial" w:eastAsiaTheme="majorEastAsia" w:hAnsi="Arial" w:cstheme="majorBidi"/>
      <w:bCs/>
      <w:iCs/>
      <w:color w:val="4F81BD" w:themeColor="accent1"/>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637D0"/>
    <w:pPr>
      <w:tabs>
        <w:tab w:val="center" w:pos="4536"/>
        <w:tab w:val="right" w:pos="9072"/>
      </w:tabs>
    </w:pPr>
    <w:rPr>
      <w:rFonts w:ascii="Arial" w:eastAsiaTheme="minorHAnsi" w:hAnsi="Arial" w:cstheme="minorBidi"/>
      <w:sz w:val="22"/>
      <w:szCs w:val="22"/>
      <w:lang w:eastAsia="en-US"/>
    </w:rPr>
  </w:style>
  <w:style w:type="character" w:customStyle="1" w:styleId="HeaderChar">
    <w:name w:val="Header Char"/>
    <w:basedOn w:val="DefaultParagraphFont"/>
    <w:link w:val="Header"/>
    <w:uiPriority w:val="99"/>
    <w:rsid w:val="00A637D0"/>
  </w:style>
  <w:style w:type="paragraph" w:styleId="Footer">
    <w:name w:val="footer"/>
    <w:basedOn w:val="Normal"/>
    <w:link w:val="FooterChar"/>
    <w:uiPriority w:val="99"/>
    <w:unhideWhenUsed/>
    <w:rsid w:val="00A637D0"/>
    <w:pPr>
      <w:tabs>
        <w:tab w:val="center" w:pos="4536"/>
        <w:tab w:val="right" w:pos="9072"/>
      </w:tabs>
    </w:pPr>
    <w:rPr>
      <w:rFonts w:ascii="Arial" w:eastAsiaTheme="minorHAnsi" w:hAnsi="Arial" w:cstheme="minorBidi"/>
      <w:sz w:val="22"/>
      <w:szCs w:val="22"/>
      <w:lang w:eastAsia="en-US"/>
    </w:rPr>
  </w:style>
  <w:style w:type="character" w:customStyle="1" w:styleId="FooterChar">
    <w:name w:val="Footer Char"/>
    <w:basedOn w:val="DefaultParagraphFont"/>
    <w:link w:val="Footer"/>
    <w:uiPriority w:val="99"/>
    <w:rsid w:val="00DE6D89"/>
  </w:style>
  <w:style w:type="paragraph" w:styleId="BalloonText">
    <w:name w:val="Balloon Text"/>
    <w:basedOn w:val="Normal"/>
    <w:link w:val="BalloonTextChar"/>
    <w:uiPriority w:val="99"/>
    <w:semiHidden/>
    <w:unhideWhenUsed/>
    <w:rsid w:val="00A637D0"/>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637D0"/>
    <w:rPr>
      <w:rFonts w:ascii="Tahoma" w:hAnsi="Tahoma" w:cs="Tahoma"/>
      <w:sz w:val="16"/>
      <w:szCs w:val="16"/>
    </w:rPr>
  </w:style>
  <w:style w:type="character" w:styleId="PageNumber">
    <w:name w:val="page number"/>
    <w:basedOn w:val="DefaultParagraphFont"/>
    <w:semiHidden/>
    <w:unhideWhenUsed/>
    <w:rsid w:val="00A637D0"/>
  </w:style>
  <w:style w:type="character" w:customStyle="1" w:styleId="Heading2Char">
    <w:name w:val="Heading 2 Char"/>
    <w:aliases w:val="2. Überschrift Char"/>
    <w:basedOn w:val="DefaultParagraphFont"/>
    <w:link w:val="Heading2"/>
    <w:uiPriority w:val="1"/>
    <w:rsid w:val="000F1C7E"/>
    <w:rPr>
      <w:rFonts w:ascii="Arial" w:eastAsiaTheme="majorEastAsia" w:hAnsi="Arial" w:cstheme="majorBidi"/>
      <w:b/>
      <w:bCs/>
      <w:sz w:val="24"/>
      <w:szCs w:val="26"/>
    </w:rPr>
  </w:style>
  <w:style w:type="character" w:customStyle="1" w:styleId="Heading3Char">
    <w:name w:val="Heading 3 Char"/>
    <w:aliases w:val="3. Überschrift Char"/>
    <w:basedOn w:val="DefaultParagraphFont"/>
    <w:link w:val="Heading3"/>
    <w:uiPriority w:val="1"/>
    <w:rsid w:val="000F1C7E"/>
    <w:rPr>
      <w:rFonts w:ascii="Arial" w:eastAsiaTheme="majorEastAsia" w:hAnsi="Arial" w:cstheme="majorBidi"/>
      <w:b/>
      <w:bCs/>
    </w:rPr>
  </w:style>
  <w:style w:type="paragraph" w:customStyle="1" w:styleId="2Einrckung">
    <w:name w:val="2. Einrückung"/>
    <w:basedOn w:val="Normal"/>
    <w:uiPriority w:val="2"/>
    <w:qFormat/>
    <w:rsid w:val="009B0BA2"/>
    <w:pPr>
      <w:tabs>
        <w:tab w:val="left" w:pos="567"/>
        <w:tab w:val="left" w:pos="1134"/>
      </w:tabs>
      <w:ind w:left="1134" w:hanging="567"/>
    </w:pPr>
    <w:rPr>
      <w:rFonts w:ascii="Arial" w:eastAsiaTheme="minorHAnsi" w:hAnsi="Arial" w:cstheme="minorBidi"/>
      <w:sz w:val="22"/>
      <w:szCs w:val="22"/>
      <w:lang w:eastAsia="en-US"/>
    </w:rPr>
  </w:style>
  <w:style w:type="paragraph" w:customStyle="1" w:styleId="1Einrckung">
    <w:name w:val="1. Einrückung"/>
    <w:basedOn w:val="Normal"/>
    <w:uiPriority w:val="2"/>
    <w:qFormat/>
    <w:rsid w:val="009B0BA2"/>
    <w:pPr>
      <w:tabs>
        <w:tab w:val="left" w:pos="567"/>
      </w:tabs>
      <w:ind w:left="567" w:hanging="567"/>
    </w:pPr>
    <w:rPr>
      <w:rFonts w:ascii="Arial" w:eastAsiaTheme="minorHAnsi" w:hAnsi="Arial" w:cstheme="minorBidi"/>
      <w:sz w:val="22"/>
      <w:szCs w:val="22"/>
      <w:lang w:eastAsia="en-US"/>
    </w:rPr>
  </w:style>
  <w:style w:type="paragraph" w:customStyle="1" w:styleId="3Einrckung">
    <w:name w:val="3. Einrückung"/>
    <w:basedOn w:val="Normal"/>
    <w:uiPriority w:val="2"/>
    <w:qFormat/>
    <w:rsid w:val="009B0BA2"/>
    <w:pPr>
      <w:tabs>
        <w:tab w:val="left" w:pos="567"/>
        <w:tab w:val="left" w:pos="1134"/>
        <w:tab w:val="left" w:pos="1701"/>
      </w:tabs>
      <w:ind w:left="1701" w:hanging="567"/>
    </w:pPr>
    <w:rPr>
      <w:rFonts w:ascii="Arial" w:eastAsiaTheme="minorHAnsi" w:hAnsi="Arial" w:cstheme="minorBidi"/>
      <w:sz w:val="22"/>
      <w:szCs w:val="22"/>
      <w:lang w:eastAsia="en-US"/>
    </w:rPr>
  </w:style>
  <w:style w:type="character" w:customStyle="1" w:styleId="Heading1Char">
    <w:name w:val="Heading 1 Char"/>
    <w:aliases w:val="1. Überschrift Char"/>
    <w:basedOn w:val="DefaultParagraphFont"/>
    <w:link w:val="Heading1"/>
    <w:uiPriority w:val="1"/>
    <w:rsid w:val="00E00A39"/>
    <w:rPr>
      <w:rFonts w:ascii="Arial" w:eastAsiaTheme="majorEastAsia" w:hAnsi="Arial" w:cstheme="majorBidi"/>
      <w:b/>
      <w:bCs/>
      <w:sz w:val="28"/>
      <w:szCs w:val="28"/>
    </w:rPr>
  </w:style>
  <w:style w:type="paragraph" w:styleId="NoSpacing">
    <w:name w:val="No Spacing"/>
    <w:basedOn w:val="Normal"/>
    <w:uiPriority w:val="4"/>
    <w:semiHidden/>
    <w:unhideWhenUsed/>
    <w:rsid w:val="000F1C7E"/>
    <w:rPr>
      <w:rFonts w:ascii="Arial" w:eastAsiaTheme="minorHAnsi" w:hAnsi="Arial" w:cstheme="minorBidi"/>
      <w:sz w:val="22"/>
      <w:szCs w:val="22"/>
      <w:lang w:eastAsia="en-US"/>
    </w:rPr>
  </w:style>
  <w:style w:type="table" w:styleId="TableGrid">
    <w:name w:val="Table Grid"/>
    <w:basedOn w:val="TableNormal"/>
    <w:rsid w:val="00165E3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B969D6"/>
    <w:rPr>
      <w:rFonts w:ascii="Arial" w:eastAsiaTheme="majorEastAsia" w:hAnsi="Arial" w:cstheme="majorBidi"/>
      <w:bCs/>
      <w:iCs/>
      <w:color w:val="4F81BD" w:themeColor="accent1"/>
    </w:rPr>
  </w:style>
  <w:style w:type="paragraph" w:customStyle="1" w:styleId="Tabellentext">
    <w:name w:val="Tabellentext"/>
    <w:basedOn w:val="Normal"/>
    <w:link w:val="TabellentextZchn"/>
    <w:qFormat/>
    <w:rsid w:val="006813FB"/>
    <w:pPr>
      <w:spacing w:line="288" w:lineRule="auto"/>
    </w:pPr>
    <w:rPr>
      <w:rFonts w:ascii="Arial" w:hAnsi="Arial"/>
      <w:sz w:val="22"/>
      <w:szCs w:val="22"/>
    </w:rPr>
  </w:style>
  <w:style w:type="paragraph" w:customStyle="1" w:styleId="TabelleZwischen">
    <w:name w:val="TabelleZwischen"/>
    <w:basedOn w:val="Normal"/>
    <w:next w:val="Tabellentext"/>
    <w:qFormat/>
    <w:rsid w:val="006813FB"/>
    <w:pPr>
      <w:keepNext/>
      <w:keepLines/>
      <w:spacing w:before="100" w:line="288" w:lineRule="auto"/>
      <w:ind w:right="113"/>
    </w:pPr>
    <w:rPr>
      <w:rFonts w:ascii="Arial" w:hAnsi="Arial"/>
      <w:b/>
      <w:sz w:val="18"/>
      <w:szCs w:val="22"/>
    </w:rPr>
  </w:style>
  <w:style w:type="character" w:customStyle="1" w:styleId="TabellentextZchn">
    <w:name w:val="Tabellentext Zchn"/>
    <w:link w:val="Tabellentext"/>
    <w:rsid w:val="006813FB"/>
    <w:rPr>
      <w:rFonts w:ascii="Arial" w:eastAsia="Times New Roman" w:hAnsi="Arial" w:cs="Times New Roman"/>
      <w:lang w:eastAsia="de-DE"/>
    </w:rPr>
  </w:style>
  <w:style w:type="character" w:styleId="PlaceholderText">
    <w:name w:val="Placeholder Text"/>
    <w:basedOn w:val="DefaultParagraphFont"/>
    <w:uiPriority w:val="99"/>
    <w:semiHidden/>
    <w:rsid w:val="00BA03DB"/>
    <w:rPr>
      <w:color w:val="808080"/>
    </w:rPr>
  </w:style>
  <w:style w:type="character" w:styleId="CommentReference">
    <w:name w:val="annotation reference"/>
    <w:basedOn w:val="DefaultParagraphFont"/>
    <w:uiPriority w:val="99"/>
    <w:semiHidden/>
    <w:unhideWhenUsed/>
    <w:rsid w:val="00426E76"/>
    <w:rPr>
      <w:sz w:val="16"/>
      <w:szCs w:val="16"/>
    </w:rPr>
  </w:style>
  <w:style w:type="paragraph" w:styleId="CommentText">
    <w:name w:val="annotation text"/>
    <w:basedOn w:val="Normal"/>
    <w:link w:val="CommentTextChar"/>
    <w:uiPriority w:val="99"/>
    <w:unhideWhenUsed/>
    <w:rsid w:val="00426E76"/>
    <w:rPr>
      <w:sz w:val="20"/>
      <w:szCs w:val="20"/>
    </w:rPr>
  </w:style>
  <w:style w:type="character" w:customStyle="1" w:styleId="CommentTextChar">
    <w:name w:val="Comment Text Char"/>
    <w:basedOn w:val="DefaultParagraphFont"/>
    <w:link w:val="CommentText"/>
    <w:uiPriority w:val="99"/>
    <w:rsid w:val="00426E76"/>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426E76"/>
    <w:rPr>
      <w:b/>
      <w:bCs/>
    </w:rPr>
  </w:style>
  <w:style w:type="character" w:customStyle="1" w:styleId="CommentSubjectChar">
    <w:name w:val="Comment Subject Char"/>
    <w:basedOn w:val="CommentTextChar"/>
    <w:link w:val="CommentSubject"/>
    <w:uiPriority w:val="99"/>
    <w:semiHidden/>
    <w:rsid w:val="00426E76"/>
    <w:rPr>
      <w:rFonts w:ascii="Times New Roman" w:eastAsia="Times New Roman" w:hAnsi="Times New Roman" w:cs="Times New Roman"/>
      <w:b/>
      <w:bCs/>
      <w:sz w:val="20"/>
      <w:szCs w:val="20"/>
      <w:lang w:eastAsia="de-DE"/>
    </w:rPr>
  </w:style>
  <w:style w:type="paragraph" w:styleId="FootnoteText">
    <w:name w:val="footnote text"/>
    <w:basedOn w:val="Normal"/>
    <w:link w:val="FootnoteTextChar"/>
    <w:uiPriority w:val="99"/>
    <w:semiHidden/>
    <w:unhideWhenUsed/>
    <w:rsid w:val="000969F0"/>
    <w:rPr>
      <w:sz w:val="20"/>
      <w:szCs w:val="20"/>
    </w:rPr>
  </w:style>
  <w:style w:type="character" w:customStyle="1" w:styleId="FootnoteTextChar">
    <w:name w:val="Footnote Text Char"/>
    <w:basedOn w:val="DefaultParagraphFont"/>
    <w:link w:val="FootnoteText"/>
    <w:uiPriority w:val="99"/>
    <w:semiHidden/>
    <w:rsid w:val="000969F0"/>
    <w:rPr>
      <w:rFonts w:ascii="Times New Roman" w:eastAsia="Times New Roman" w:hAnsi="Times New Roman" w:cs="Times New Roman"/>
      <w:sz w:val="20"/>
      <w:szCs w:val="20"/>
      <w:lang w:eastAsia="de-DE"/>
    </w:rPr>
  </w:style>
  <w:style w:type="character" w:styleId="FootnoteReference">
    <w:name w:val="footnote reference"/>
    <w:basedOn w:val="DefaultParagraphFont"/>
    <w:uiPriority w:val="99"/>
    <w:semiHidden/>
    <w:unhideWhenUsed/>
    <w:rsid w:val="000969F0"/>
    <w:rPr>
      <w:vertAlign w:val="superscript"/>
    </w:rPr>
  </w:style>
  <w:style w:type="paragraph" w:styleId="ListParagraph">
    <w:name w:val="List Paragraph"/>
    <w:basedOn w:val="Normal"/>
    <w:uiPriority w:val="99"/>
    <w:qFormat/>
    <w:rsid w:val="007A704E"/>
    <w:pPr>
      <w:ind w:left="720"/>
      <w:contextualSpacing/>
    </w:pPr>
  </w:style>
  <w:style w:type="paragraph" w:styleId="BodyText">
    <w:name w:val="Body Text"/>
    <w:basedOn w:val="Normal"/>
    <w:link w:val="BodyTextChar"/>
    <w:uiPriority w:val="99"/>
    <w:rsid w:val="009505F0"/>
    <w:rPr>
      <w:rFonts w:ascii="Arial" w:hAnsi="Arial"/>
      <w:i/>
      <w:sz w:val="22"/>
    </w:rPr>
  </w:style>
  <w:style w:type="character" w:customStyle="1" w:styleId="BodyTextChar">
    <w:name w:val="Body Text Char"/>
    <w:basedOn w:val="DefaultParagraphFont"/>
    <w:link w:val="BodyText"/>
    <w:uiPriority w:val="99"/>
    <w:rsid w:val="009505F0"/>
    <w:rPr>
      <w:rFonts w:ascii="Arial" w:eastAsia="Times New Roman" w:hAnsi="Arial" w:cs="Times New Roman"/>
      <w:i/>
      <w:szCs w:val="24"/>
      <w:lang w:eastAsia="de-DE"/>
    </w:rPr>
  </w:style>
  <w:style w:type="character" w:customStyle="1" w:styleId="hps">
    <w:name w:val="hps"/>
    <w:basedOn w:val="DefaultParagraphFont"/>
    <w:rsid w:val="005D3947"/>
  </w:style>
  <w:style w:type="character" w:styleId="Hyperlink">
    <w:name w:val="Hyperlink"/>
    <w:basedOn w:val="DefaultParagraphFont"/>
    <w:uiPriority w:val="99"/>
    <w:unhideWhenUsed/>
    <w:rsid w:val="00601E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sche_chr\AppData\Local\Microsoft\Windows\Temporary%20Internet%20Files\Content.IE5\4AMW52UU\wirkungsmatrix-teil%20a-d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BDFF75-6F67-440F-B17C-D4EE4424C409}"/>
</file>

<file path=customXml/itemProps2.xml><?xml version="1.0" encoding="utf-8"?>
<ds:datastoreItem xmlns:ds="http://schemas.openxmlformats.org/officeDocument/2006/customXml" ds:itemID="{F858BCCF-820A-47CB-B55C-4E0185FCA86F}"/>
</file>

<file path=customXml/itemProps3.xml><?xml version="1.0" encoding="utf-8"?>
<ds:datastoreItem xmlns:ds="http://schemas.openxmlformats.org/officeDocument/2006/customXml" ds:itemID="{7246FAA9-3506-4B02-955B-2313A840E53D}"/>
</file>

<file path=customXml/itemProps4.xml><?xml version="1.0" encoding="utf-8"?>
<ds:datastoreItem xmlns:ds="http://schemas.openxmlformats.org/officeDocument/2006/customXml" ds:itemID="{26BF8492-5E71-4EBB-9927-1B5F2BFD389E}"/>
</file>

<file path=docProps/app.xml><?xml version="1.0" encoding="utf-8"?>
<Properties xmlns="http://schemas.openxmlformats.org/officeDocument/2006/extended-properties" xmlns:vt="http://schemas.openxmlformats.org/officeDocument/2006/docPropsVTypes">
  <Template>wirkungsmatrix-teil a-de</Template>
  <TotalTime>0</TotalTime>
  <Pages>6</Pages>
  <Words>1619</Words>
  <Characters>10200</Characters>
  <Application>Microsoft Office Word</Application>
  <DocSecurity>0</DocSecurity>
  <Lines>85</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GIZ GmbH</Company>
  <LinksUpToDate>false</LinksUpToDate>
  <CharactersWithSpaces>11796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Koenemund</dc:creator>
  <cp:keywords/>
  <dc:description/>
  <cp:lastModifiedBy>HEAT</cp:lastModifiedBy>
  <cp:revision>6</cp:revision>
  <cp:lastPrinted>2012-12-03T12:31:00Z</cp:lastPrinted>
  <dcterms:created xsi:type="dcterms:W3CDTF">2015-11-16T15:21:00Z</dcterms:created>
  <dcterms:modified xsi:type="dcterms:W3CDTF">2015-11-16T15:29:00Z</dcterms:modified>
</cp:coreProperties>
</file>